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AA0" w:rsidRDefault="00C55AA0"/>
    <w:bookmarkStart w:id="0" w:name="Title" w:displacedByCustomXml="next"/>
    <w:sdt>
      <w:sdtPr>
        <w:rPr>
          <w:lang w:val="en-US"/>
        </w:rPr>
        <w:alias w:val="Title"/>
        <w:tag w:val="Title"/>
        <w:id w:val="1323468504"/>
        <w:placeholder>
          <w:docPart w:val="F4AAD48BC63E4E6CA1FDFBF63F624C13"/>
        </w:placeholder>
        <w:text w:multiLine="1"/>
      </w:sdtPr>
      <w:sdtEndPr/>
      <w:sdtContent>
        <w:p w:rsidR="00C55AA0" w:rsidRDefault="00421881">
          <w:pPr>
            <w:pStyle w:val="Title1"/>
          </w:pPr>
          <w:r>
            <w:t>Planning Advisory Service (PAS) report May 2019</w:t>
          </w:r>
        </w:p>
      </w:sdtContent>
    </w:sdt>
    <w:bookmarkEnd w:id="0"/>
    <w:p w:rsidR="00C55AA0" w:rsidRDefault="00C55AA0"/>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rsidR="00C55AA0" w:rsidRDefault="00421881">
          <w:pPr>
            <w:ind w:left="0" w:firstLine="0"/>
          </w:pPr>
          <w:r>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rsidR="00C55AA0" w:rsidRDefault="00421881">
          <w:pPr>
            <w:ind w:left="0" w:firstLine="0"/>
            <w:rPr>
              <w:rStyle w:val="Title3Char"/>
            </w:rPr>
          </w:pPr>
          <w:r>
            <w:t>For information.</w:t>
          </w:r>
        </w:p>
      </w:sdtContent>
    </w:sdt>
    <w:sdt>
      <w:sdtPr>
        <w:rPr>
          <w:rStyle w:val="Style6"/>
        </w:rPr>
        <w:id w:val="911819474"/>
        <w:lock w:val="sdtLocked"/>
        <w:placeholder>
          <w:docPart w:val="8E8D39C8ADA945B28543A4203DDCD7D0"/>
        </w:placeholder>
      </w:sdtPr>
      <w:sdtEndPr>
        <w:rPr>
          <w:rStyle w:val="Style6"/>
        </w:rPr>
      </w:sdtEndPr>
      <w:sdtContent>
        <w:p w:rsidR="00C55AA0" w:rsidRDefault="00421881">
          <w:pPr>
            <w:ind w:left="0" w:firstLine="0"/>
          </w:pPr>
          <w:r>
            <w:rPr>
              <w:rStyle w:val="Style6"/>
            </w:rPr>
            <w:t>Summary</w:t>
          </w:r>
        </w:p>
      </w:sdtContent>
    </w:sdt>
    <w:p w:rsidR="00C55AA0" w:rsidRDefault="00421881" w:rsidP="00421881">
      <w:pPr>
        <w:pStyle w:val="Title3"/>
        <w:ind w:left="0" w:firstLine="0"/>
      </w:pPr>
      <w:r>
        <w:t>This is the first time that PAS has reported to the EEHT board. PAS is a programme of work providing support and advice to councils on planning</w:t>
      </w:r>
      <w:r>
        <w:t xml:space="preserve"> issues, paid for and directed by MHCLG. </w:t>
      </w:r>
    </w:p>
    <w:p w:rsidR="00C55AA0" w:rsidRDefault="00421881" w:rsidP="00421881">
      <w:pPr>
        <w:pStyle w:val="Title3"/>
        <w:ind w:left="0" w:firstLine="0"/>
      </w:pPr>
      <w:r>
        <w:t>This paper sets out a review of the year 2018-19. The lead officers wil</w:t>
      </w:r>
      <w:r>
        <w:t xml:space="preserve">l also make a short presentation to members which will cover some of the work underway in 2019-20 and to answer questions. </w:t>
      </w:r>
    </w:p>
    <w:p w:rsidR="00C55AA0" w:rsidRDefault="00C55AA0">
      <w:pPr>
        <w:pStyle w:val="Title3"/>
      </w:pPr>
    </w:p>
    <w:p w:rsidR="00C55AA0" w:rsidRDefault="00421881">
      <w:pPr>
        <w:pStyle w:val="Title3"/>
      </w:pPr>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63500</wp:posOffset>
                </wp:positionH>
                <wp:positionV relativeFrom="paragraph">
                  <wp:posOffset>163830</wp:posOffset>
                </wp:positionV>
                <wp:extent cx="5705475" cy="2179955"/>
                <wp:effectExtent l="0" t="0" r="9525" b="17145"/>
                <wp:wrapNone/>
                <wp:docPr id="1" name="Text Box 1"/>
                <wp:cNvGraphicFramePr/>
                <a:graphic xmlns:a="http://schemas.openxmlformats.org/drawingml/2006/main">
                  <a:graphicData uri="http://schemas.microsoft.com/office/word/2010/wordprocessingShape">
                    <wps:wsp>
                      <wps:cNvSpPr txBox="1"/>
                      <wps:spPr>
                        <a:xfrm>
                          <a:off x="0" y="0"/>
                          <a:ext cx="5705475" cy="2179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5AA0" w:rsidRDefault="00C55AA0"/>
                          <w:sdt>
                            <w:sdtPr>
                              <w:rPr>
                                <w:rStyle w:val="Style6"/>
                              </w:rPr>
                              <w:alias w:val="Recommendations"/>
                              <w:tag w:val="Recommendations"/>
                              <w:id w:val="-1634171231"/>
                              <w:placeholder>
                                <w:docPart w:val="6A9E8857DB8647FABF64567742B78AD3"/>
                              </w:placeholder>
                            </w:sdtPr>
                            <w:sdtEndPr>
                              <w:rPr>
                                <w:rStyle w:val="Style6"/>
                              </w:rPr>
                            </w:sdtEndPr>
                            <w:sdtContent>
                              <w:p w:rsidR="00C55AA0" w:rsidRDefault="00421881">
                                <w:pPr>
                                  <w:ind w:left="0" w:firstLine="0"/>
                                </w:pPr>
                                <w:r>
                                  <w:rPr>
                                    <w:rStyle w:val="Style6"/>
                                  </w:rPr>
                                  <w:t>Recommendation</w:t>
                                </w:r>
                              </w:p>
                            </w:sdtContent>
                          </w:sdt>
                          <w:p w:rsidR="00C55AA0" w:rsidRDefault="00421881">
                            <w:pPr>
                              <w:pStyle w:val="Title3"/>
                              <w:spacing w:after="0"/>
                            </w:pPr>
                            <w:r>
                              <w:t xml:space="preserve">That members note the report </w:t>
                            </w:r>
                          </w:p>
                          <w:p w:rsidR="00C55AA0" w:rsidRDefault="00C55AA0">
                            <w:pPr>
                              <w:pStyle w:val="Title3"/>
                              <w:spacing w:after="0"/>
                            </w:pPr>
                          </w:p>
                          <w:p w:rsidR="00C55AA0" w:rsidRDefault="00421881">
                            <w:pPr>
                              <w:ind w:left="0" w:firstLine="0"/>
                            </w:pPr>
                            <w:sdt>
                              <w:sdtPr>
                                <w:rPr>
                                  <w:rStyle w:val="Style6"/>
                                </w:rPr>
                                <w:alias w:val="Action/s"/>
                                <w:tag w:val="Action/s"/>
                                <w:id w:val="450136090"/>
                                <w:placeholder>
                                  <w:docPart w:val="116A86B4BA654E03A694D167A630844B"/>
                                </w:placeholder>
                              </w:sdtPr>
                              <w:sdtEndPr>
                                <w:rPr>
                                  <w:rStyle w:val="Style6"/>
                                </w:rPr>
                              </w:sdtEndPr>
                              <w:sdtContent>
                                <w:r>
                                  <w:rPr>
                                    <w:rStyle w:val="Style6"/>
                                  </w:rPr>
                                  <w:t>Action</w:t>
                                </w:r>
                              </w:sdtContent>
                            </w:sdt>
                          </w:p>
                          <w:p w:rsidR="00C55AA0" w:rsidRDefault="00421881">
                            <w:pPr>
                              <w:pStyle w:val="Title3"/>
                              <w:ind w:left="0" w:firstLine="0"/>
                            </w:pPr>
                            <w:r>
                              <w:t>Officers to take forward any member suggestions to improve the rep</w:t>
                            </w:r>
                            <w:r>
                              <w:t xml:space="preserve">ort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pt;margin-top:12.9pt;width:449.25pt;height:171.6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" fillcolor="white [3201]" strokeweight=".5pt">
                <v:textbox>
                  <w:txbxContent>
                    <w:p w:rsidR="00C55AA0" w:rsidRDefault="00C55AA0"/>
                    <w:sdt>
                      <w:sdtPr>
                        <w:rPr>
                          <w:rStyle w:val="Style6"/>
                        </w:rPr>
                        <w:alias w:val="Recommendations"/>
                        <w:tag w:val="Recommendations"/>
                        <w:id w:val="-1634171231"/>
                        <w:placeholder>
                          <w:docPart w:val="6A9E8857DB8647FABF64567742B78AD3"/>
                        </w:placeholder>
                      </w:sdtPr>
                      <w:sdtEndPr>
                        <w:rPr>
                          <w:rStyle w:val="Style6"/>
                        </w:rPr>
                      </w:sdtEndPr>
                      <w:sdtContent>
                        <w:p w:rsidR="00C55AA0" w:rsidRDefault="00421881">
                          <w:pPr>
                            <w:ind w:left="0" w:firstLine="0"/>
                          </w:pPr>
                          <w:r>
                            <w:rPr>
                              <w:rStyle w:val="Style6"/>
                            </w:rPr>
                            <w:t>Recommendation</w:t>
                          </w:r>
                        </w:p>
                      </w:sdtContent>
                    </w:sdt>
                    <w:p w:rsidR="00C55AA0" w:rsidRDefault="00421881">
                      <w:pPr>
                        <w:pStyle w:val="Title3"/>
                        <w:spacing w:after="0"/>
                      </w:pPr>
                      <w:r>
                        <w:t xml:space="preserve">That members note the report </w:t>
                      </w:r>
                    </w:p>
                    <w:p w:rsidR="00C55AA0" w:rsidRDefault="00C55AA0">
                      <w:pPr>
                        <w:pStyle w:val="Title3"/>
                        <w:spacing w:after="0"/>
                      </w:pPr>
                    </w:p>
                    <w:p w:rsidR="00C55AA0" w:rsidRDefault="00421881">
                      <w:pPr>
                        <w:ind w:left="0" w:firstLine="0"/>
                      </w:pPr>
                      <w:sdt>
                        <w:sdtPr>
                          <w:rPr>
                            <w:rStyle w:val="Style6"/>
                          </w:rPr>
                          <w:alias w:val="Action/s"/>
                          <w:tag w:val="Action/s"/>
                          <w:id w:val="450136090"/>
                          <w:placeholder>
                            <w:docPart w:val="116A86B4BA654E03A694D167A630844B"/>
                          </w:placeholder>
                        </w:sdtPr>
                        <w:sdtEndPr>
                          <w:rPr>
                            <w:rStyle w:val="Style6"/>
                          </w:rPr>
                        </w:sdtEndPr>
                        <w:sdtContent>
                          <w:r>
                            <w:rPr>
                              <w:rStyle w:val="Style6"/>
                            </w:rPr>
                            <w:t>Action</w:t>
                          </w:r>
                        </w:sdtContent>
                      </w:sdt>
                    </w:p>
                    <w:p w:rsidR="00C55AA0" w:rsidRDefault="00421881">
                      <w:pPr>
                        <w:pStyle w:val="Title3"/>
                        <w:ind w:left="0" w:firstLine="0"/>
                      </w:pPr>
                      <w:r>
                        <w:t>Officers to take forward any member suggestions to improve the rep</w:t>
                      </w:r>
                      <w:r>
                        <w:t xml:space="preserve">ort </w:t>
                      </w:r>
                    </w:p>
                  </w:txbxContent>
                </v:textbox>
                <w10:wrap anchorx="margin"/>
              </v:shape>
            </w:pict>
          </mc:Fallback>
        </mc:AlternateContent>
      </w:r>
    </w:p>
    <w:p w:rsidR="00C55AA0" w:rsidRDefault="00C55AA0">
      <w:pPr>
        <w:pStyle w:val="Title3"/>
      </w:pPr>
    </w:p>
    <w:p w:rsidR="00C55AA0" w:rsidRDefault="00C55AA0">
      <w:pPr>
        <w:pStyle w:val="Title3"/>
      </w:pPr>
    </w:p>
    <w:p w:rsidR="00C55AA0" w:rsidRDefault="00C55AA0">
      <w:pPr>
        <w:pStyle w:val="Title3"/>
      </w:pPr>
    </w:p>
    <w:p w:rsidR="00C55AA0" w:rsidRDefault="00C55AA0">
      <w:pPr>
        <w:pStyle w:val="Title3"/>
      </w:pPr>
    </w:p>
    <w:p w:rsidR="00C55AA0" w:rsidRDefault="00C55AA0">
      <w:pPr>
        <w:pStyle w:val="Title3"/>
      </w:pPr>
    </w:p>
    <w:p w:rsidR="00C55AA0" w:rsidRDefault="00C55AA0">
      <w:pPr>
        <w:pStyle w:val="Title3"/>
      </w:pPr>
    </w:p>
    <w:p w:rsidR="00C55AA0" w:rsidRDefault="00C55AA0">
      <w:pPr>
        <w:pStyle w:val="Title3"/>
      </w:pPr>
    </w:p>
    <w:p w:rsidR="00C55AA0" w:rsidRDefault="00C55AA0">
      <w:pPr>
        <w:pStyle w:val="Title3"/>
      </w:pPr>
    </w:p>
    <w:p w:rsidR="00C55AA0" w:rsidRDefault="00C55AA0">
      <w:pPr>
        <w:pStyle w:val="Title3"/>
      </w:pPr>
    </w:p>
    <w:p w:rsidR="00C55AA0" w:rsidRDefault="00421881">
      <w:sdt>
        <w:sdtPr>
          <w:rPr>
            <w:rStyle w:val="Style2"/>
          </w:rPr>
          <w:id w:val="-1751574325"/>
          <w:lock w:val="contentLocked"/>
          <w:placeholder>
            <w:docPart w:val="2A0B69953C334DA29F4AA2DA11A20895"/>
          </w:placeholder>
        </w:sdtPr>
        <w:sdtEndPr>
          <w:rPr>
            <w:rStyle w:val="Style2"/>
          </w:rPr>
        </w:sdtEndPr>
        <w:sdtContent>
          <w:r>
            <w:rPr>
              <w:rStyle w:val="Style2"/>
            </w:rPr>
            <w:t>Contact officer:</w:t>
          </w:r>
        </w:sdtContent>
      </w:sdt>
      <w:r>
        <w:tab/>
      </w:r>
      <w:r>
        <w:tab/>
      </w:r>
      <w:sdt>
        <w:sdtPr>
          <w:alias w:val="Contact officer"/>
          <w:tag w:val="Contact officer"/>
          <w:id w:val="1986894198"/>
          <w:placeholder>
            <w:docPart w:val="612AD7A44EDB4762853B2D70AF17F626"/>
          </w:placeholder>
          <w:text w:multiLine="1"/>
        </w:sdtPr>
        <w:sdtEndPr/>
        <w:sdtContent>
          <w:r>
            <w:t>Anna Rose</w:t>
          </w:r>
        </w:sdtContent>
      </w:sdt>
    </w:p>
    <w:p w:rsidR="00C55AA0" w:rsidRDefault="00421881">
      <w:sdt>
        <w:sdtPr>
          <w:rPr>
            <w:rStyle w:val="Style2"/>
          </w:rPr>
          <w:id w:val="1940027828"/>
          <w:lock w:val="contentLocked"/>
          <w:placeholder>
            <w:docPart w:val="5DA5FCDD5DE24111B5E40C7C6DC954DD"/>
          </w:placeholder>
        </w:sdtPr>
        <w:sdtEndPr>
          <w:rPr>
            <w:rStyle w:val="Style2"/>
          </w:rPr>
        </w:sdtEndPr>
        <w:sdtContent>
          <w:r>
            <w:rPr>
              <w:rStyle w:val="Style2"/>
            </w:rPr>
            <w:t>Position:</w:t>
          </w:r>
        </w:sdtContent>
      </w:sdt>
      <w:r>
        <w:tab/>
      </w:r>
      <w:r>
        <w:tab/>
      </w:r>
      <w:r>
        <w:tab/>
      </w:r>
      <w:sdt>
        <w:sdtPr>
          <w:alias w:val="Position"/>
          <w:tag w:val="Contact officer"/>
          <w:id w:val="2049946449"/>
          <w:placeholder>
            <w:docPart w:val="B5D4B6342EAB4E63B8BDB1156776B295"/>
          </w:placeholder>
          <w:text w:multiLine="1"/>
        </w:sdtPr>
        <w:sdtEndPr/>
        <w:sdtContent>
          <w:r>
            <w:t>Head of PAS</w:t>
          </w:r>
        </w:sdtContent>
      </w:sdt>
    </w:p>
    <w:p w:rsidR="00C55AA0" w:rsidRDefault="00421881">
      <w:sdt>
        <w:sdtPr>
          <w:rPr>
            <w:rStyle w:val="Style2"/>
          </w:rPr>
          <w:id w:val="1040625228"/>
          <w:lock w:val="contentLocked"/>
          <w:placeholder>
            <w:docPart w:val="D0FBEB16E9CB482E827B08B4F87AD0BA"/>
          </w:placeholder>
        </w:sdtPr>
        <w:sdtEndPr>
          <w:rPr>
            <w:rStyle w:val="Style2"/>
          </w:rPr>
        </w:sdtEndPr>
        <w:sdtContent>
          <w:r>
            <w:rPr>
              <w:rStyle w:val="Style2"/>
            </w:rPr>
            <w:t>Phone no:</w:t>
          </w:r>
        </w:sdtContent>
      </w:sdt>
      <w:r>
        <w:tab/>
      </w:r>
      <w:r>
        <w:tab/>
      </w:r>
      <w:r>
        <w:tab/>
      </w:r>
      <w:sdt>
        <w:sdtPr>
          <w:alias w:val="Phone no."/>
          <w:tag w:val="Contact officer"/>
          <w:id w:val="313611300"/>
          <w:placeholder>
            <w:docPart w:val="425A900D7E884B1F9F17FA0290C47927"/>
          </w:placeholder>
          <w:text w:multiLine="1"/>
        </w:sdtPr>
        <w:sdtEndPr/>
        <w:sdtContent>
          <w:r w:rsidRPr="00421881">
            <w:rPr>
              <w:rStyle w:val="PlaceholderText"/>
              <w:color w:val="auto"/>
            </w:rPr>
            <w:t>07768020397</w:t>
          </w:r>
        </w:sdtContent>
      </w:sdt>
      <w:r>
        <w:t xml:space="preserve"> </w:t>
      </w:r>
    </w:p>
    <w:p w:rsidR="00C55AA0" w:rsidRDefault="00421881">
      <w:pPr>
        <w:pStyle w:val="Title3"/>
      </w:pPr>
      <w:sdt>
        <w:sdtPr>
          <w:rPr>
            <w:rStyle w:val="Style2"/>
          </w:rPr>
          <w:id w:val="614409820"/>
          <w:lock w:val="contentLocked"/>
          <w:placeholder>
            <w:docPart w:val="1E0CC31CDB354A1ABB229C915C28760C"/>
          </w:placeholder>
        </w:sdtPr>
        <w:sdtEndPr>
          <w:rPr>
            <w:rStyle w:val="Style2"/>
          </w:rPr>
        </w:sdtEndPr>
        <w:sdtContent>
          <w:r>
            <w:rPr>
              <w:rStyle w:val="Style2"/>
            </w:rPr>
            <w:t>Email:</w:t>
          </w:r>
        </w:sdtContent>
      </w:sdt>
      <w:r>
        <w:tab/>
      </w:r>
      <w:r>
        <w:tab/>
      </w:r>
      <w:r>
        <w:tab/>
      </w:r>
      <w:r>
        <w:tab/>
      </w:r>
      <w:sdt>
        <w:sdtPr>
          <w:alias w:val="Email"/>
          <w:tag w:val="Contact officer"/>
          <w:id w:val="-312794763"/>
          <w:placeholder>
            <w:docPart w:val="E605DA1C0F21468BA32999706CB74491"/>
          </w:placeholder>
          <w:text w:multiLine="1"/>
        </w:sdtPr>
        <w:sdtEndPr/>
        <w:sdtContent>
          <w:r>
            <w:t>anna.rose@local.gov.uk</w:t>
          </w:r>
        </w:sdtContent>
      </w:sdt>
    </w:p>
    <w:p w:rsidR="00C55AA0" w:rsidRDefault="00C55AA0">
      <w:pPr>
        <w:pStyle w:val="Title3"/>
      </w:pPr>
    </w:p>
    <w:p w:rsidR="00C55AA0" w:rsidRDefault="00C55AA0">
      <w:pPr>
        <w:pStyle w:val="Title3"/>
      </w:pPr>
    </w:p>
    <w:p w:rsidR="00C55AA0" w:rsidRDefault="00C55AA0" w:rsidP="00421881">
      <w:pPr>
        <w:pStyle w:val="Title3"/>
        <w:ind w:left="0" w:firstLine="0"/>
      </w:pPr>
    </w:p>
    <w:sdt>
      <w:sdtPr>
        <w:rPr>
          <w:lang w:val="en-US"/>
        </w:rPr>
        <w:alias w:val="Title"/>
        <w:tag w:val="Title"/>
        <w:id w:val="112252318"/>
        <w:placeholder>
          <w:docPart w:val="{06e7b9f6-0748-4766-915a-758b742fe561}"/>
        </w:placeholder>
        <w:text w:multiLine="1"/>
      </w:sdtPr>
      <w:sdtEndPr/>
      <w:sdtContent>
        <w:p w:rsidR="00C55AA0" w:rsidRDefault="00421881" w:rsidP="00421881">
          <w:pPr>
            <w:pStyle w:val="Title1"/>
            <w:rPr>
              <w:lang w:val="en-US"/>
            </w:rPr>
          </w:pPr>
          <w:r>
            <w:t>Planning Advisory Service (PAS) report May 2019</w:t>
          </w:r>
        </w:p>
      </w:sdtContent>
    </w:sdt>
    <w:sdt>
      <w:sdtPr>
        <w:rPr>
          <w:rStyle w:val="Style6"/>
        </w:rPr>
        <w:alias w:val="Background"/>
        <w:tag w:val="Background"/>
        <w:id w:val="-1335600510"/>
        <w:placeholder>
          <w:docPart w:val="1444C70DB0544F7FA5791133FDBCBD91"/>
        </w:placeholder>
      </w:sdtPr>
      <w:sdtEndPr>
        <w:rPr>
          <w:rStyle w:val="Style6"/>
        </w:rPr>
      </w:sdtEndPr>
      <w:sdtContent>
        <w:p w:rsidR="00C55AA0" w:rsidRPr="00421881" w:rsidRDefault="00421881" w:rsidP="00421881">
          <w:pPr>
            <w:rPr>
              <w:b/>
            </w:rPr>
          </w:pPr>
          <w:r>
            <w:rPr>
              <w:rStyle w:val="Style6"/>
            </w:rPr>
            <w:t>Background</w:t>
          </w:r>
        </w:p>
      </w:sdtContent>
    </w:sdt>
    <w:p w:rsidR="00421881" w:rsidRPr="00421881" w:rsidRDefault="00421881">
      <w:pPr>
        <w:pStyle w:val="ListParagraph"/>
        <w:numPr>
          <w:ilvl w:val="0"/>
          <w:numId w:val="0"/>
        </w:numPr>
        <w:rPr>
          <w:iCs/>
          <w:u w:val="single"/>
        </w:rPr>
      </w:pPr>
      <w:r w:rsidRPr="00421881">
        <w:rPr>
          <w:iCs/>
          <w:u w:val="single"/>
        </w:rPr>
        <w:t>G</w:t>
      </w:r>
      <w:r w:rsidRPr="00421881">
        <w:rPr>
          <w:iCs/>
          <w:u w:val="single"/>
        </w:rPr>
        <w:t>overnance</w:t>
      </w:r>
    </w:p>
    <w:p w:rsidR="00421881" w:rsidRPr="00421881" w:rsidRDefault="00421881">
      <w:pPr>
        <w:pStyle w:val="ListParagraph"/>
        <w:numPr>
          <w:ilvl w:val="0"/>
          <w:numId w:val="0"/>
        </w:numPr>
        <w:rPr>
          <w:i/>
          <w:iCs/>
        </w:rPr>
      </w:pPr>
    </w:p>
    <w:p w:rsidR="00C55AA0" w:rsidRDefault="00421881">
      <w:pPr>
        <w:pStyle w:val="ListParagraph"/>
      </w:pPr>
      <w:r>
        <w:t xml:space="preserve">The </w:t>
      </w:r>
      <w:proofErr w:type="spellStart"/>
      <w:r>
        <w:t>IDeA</w:t>
      </w:r>
      <w:proofErr w:type="spellEnd"/>
      <w:r>
        <w:t xml:space="preserve"> </w:t>
      </w:r>
      <w:r>
        <w:t xml:space="preserve">receives a £1m grant each year to provide the PAS programme of advice and support to councils. The work is directed and managed at monthly liaison meetings between MHCLG and PAS officers. </w:t>
      </w:r>
    </w:p>
    <w:p w:rsidR="00C55AA0" w:rsidRDefault="00C55AA0">
      <w:pPr>
        <w:pStyle w:val="ListParagraph"/>
        <w:numPr>
          <w:ilvl w:val="0"/>
          <w:numId w:val="0"/>
        </w:numPr>
      </w:pPr>
    </w:p>
    <w:p w:rsidR="00C55AA0" w:rsidRDefault="00421881">
      <w:pPr>
        <w:pStyle w:val="ListParagraph"/>
      </w:pPr>
      <w:r>
        <w:t>For many years PAS had its own board formed of 4 EEHT me</w:t>
      </w:r>
      <w:r>
        <w:t xml:space="preserve">mbers and 5 external advisors. At the </w:t>
      </w:r>
      <w:proofErr w:type="spellStart"/>
      <w:r>
        <w:t>IDeA</w:t>
      </w:r>
      <w:proofErr w:type="spellEnd"/>
      <w:r>
        <w:t xml:space="preserve"> board meeting in September 2018 it was agreed that this board be discontinued and in its place PAS would report twice-yearly directly to EEHT. </w:t>
      </w:r>
    </w:p>
    <w:p w:rsidR="00C55AA0" w:rsidRDefault="00C55AA0">
      <w:pPr>
        <w:pStyle w:val="ListParagraph"/>
        <w:numPr>
          <w:ilvl w:val="0"/>
          <w:numId w:val="0"/>
        </w:numPr>
      </w:pPr>
    </w:p>
    <w:p w:rsidR="00C55AA0" w:rsidRDefault="00421881">
      <w:pPr>
        <w:pStyle w:val="ListParagraph"/>
      </w:pPr>
      <w:r>
        <w:t>The purpose of these reports is to provide members with an update on</w:t>
      </w:r>
      <w:r>
        <w:t xml:space="preserve"> the work of the programme, to share any emerging issues or learning and to ask for member</w:t>
      </w:r>
      <w:r>
        <w:t xml:space="preserve">’s advice and guidance. </w:t>
      </w:r>
    </w:p>
    <w:p w:rsidR="00C55AA0" w:rsidRDefault="00C55AA0">
      <w:pPr>
        <w:pStyle w:val="ListParagraph"/>
        <w:numPr>
          <w:ilvl w:val="0"/>
          <w:numId w:val="0"/>
        </w:numPr>
      </w:pPr>
    </w:p>
    <w:p w:rsidR="00C55AA0" w:rsidRDefault="00C55AA0">
      <w:pPr>
        <w:pStyle w:val="ListParagraph"/>
        <w:numPr>
          <w:ilvl w:val="0"/>
          <w:numId w:val="0"/>
        </w:numPr>
      </w:pPr>
    </w:p>
    <w:p w:rsidR="00C55AA0" w:rsidRPr="00421881" w:rsidRDefault="00421881">
      <w:pPr>
        <w:pStyle w:val="ListParagraph"/>
        <w:numPr>
          <w:ilvl w:val="0"/>
          <w:numId w:val="0"/>
        </w:numPr>
        <w:rPr>
          <w:iCs/>
          <w:u w:val="single"/>
        </w:rPr>
      </w:pPr>
      <w:r w:rsidRPr="00421881">
        <w:rPr>
          <w:iCs/>
          <w:u w:val="single"/>
        </w:rPr>
        <w:t>Key Facts &amp; Figures</w:t>
      </w:r>
    </w:p>
    <w:p w:rsidR="00421881" w:rsidRDefault="00421881">
      <w:pPr>
        <w:pStyle w:val="ListParagraph"/>
        <w:numPr>
          <w:ilvl w:val="0"/>
          <w:numId w:val="0"/>
        </w:numPr>
      </w:pPr>
    </w:p>
    <w:p w:rsidR="00C55AA0" w:rsidRDefault="00421881">
      <w:pPr>
        <w:pStyle w:val="ListParagraph"/>
      </w:pPr>
      <w:r>
        <w:t>PAS has an annual grant of £1m. Alongside this grant there is a separate one-off grant of £400k to provide strategic pl</w:t>
      </w:r>
      <w:r>
        <w:t xml:space="preserve">anning support and various commercial activities of just over £100k. </w:t>
      </w:r>
    </w:p>
    <w:p w:rsidR="00C55AA0" w:rsidRDefault="00C55AA0">
      <w:pPr>
        <w:pStyle w:val="ListParagraph"/>
        <w:numPr>
          <w:ilvl w:val="0"/>
          <w:numId w:val="0"/>
        </w:numPr>
      </w:pPr>
    </w:p>
    <w:p w:rsidR="00C55AA0" w:rsidRDefault="00421881">
      <w:pPr>
        <w:pStyle w:val="ListParagraph"/>
      </w:pPr>
      <w:r>
        <w:t xml:space="preserve">There is currently a team of 7 employed on a mixture of permanent and fixed-term contracts. </w:t>
      </w:r>
    </w:p>
    <w:p w:rsidR="00C55AA0" w:rsidRDefault="00C55AA0">
      <w:pPr>
        <w:pStyle w:val="ListParagraph"/>
        <w:numPr>
          <w:ilvl w:val="0"/>
          <w:numId w:val="0"/>
        </w:numPr>
      </w:pPr>
    </w:p>
    <w:p w:rsidR="00C55AA0" w:rsidRDefault="00421881">
      <w:pPr>
        <w:pStyle w:val="ListParagraph"/>
      </w:pPr>
      <w:r>
        <w:t>The work is done using the principles of sector-led improvement and uses many LGA-wide mode</w:t>
      </w:r>
      <w:r>
        <w:t>ls of delivery (</w:t>
      </w:r>
      <w:proofErr w:type="spellStart"/>
      <w:r>
        <w:t>eg</w:t>
      </w:r>
      <w:proofErr w:type="spellEnd"/>
      <w:r>
        <w:t xml:space="preserve"> Peer Challenge and Leadership Essentials) but scoped more narrowly on planning, housing and delivery. </w:t>
      </w:r>
    </w:p>
    <w:p w:rsidR="00C55AA0" w:rsidRDefault="00421881">
      <w:pPr>
        <w:ind w:left="0" w:firstLine="0"/>
        <w:rPr>
          <w:rStyle w:val="ReportTemplate"/>
          <w:rFonts w:cs="Arial"/>
          <w:b/>
        </w:rPr>
      </w:pPr>
      <w:r>
        <w:rPr>
          <w:rStyle w:val="ReportTemplate"/>
          <w:rFonts w:cs="Arial"/>
          <w:b/>
        </w:rPr>
        <w:t>Review of 2018-19</w:t>
      </w:r>
    </w:p>
    <w:p w:rsidR="00C55AA0" w:rsidRDefault="00C55AA0">
      <w:pPr>
        <w:pStyle w:val="ListParagraph"/>
        <w:numPr>
          <w:ilvl w:val="0"/>
          <w:numId w:val="0"/>
        </w:numPr>
        <w:rPr>
          <w:rFonts w:eastAsia="Calibri" w:cs="Arial"/>
        </w:rPr>
      </w:pPr>
    </w:p>
    <w:p w:rsidR="00C55AA0" w:rsidRPr="00421881" w:rsidRDefault="00421881">
      <w:pPr>
        <w:pStyle w:val="ListParagraph"/>
        <w:numPr>
          <w:ilvl w:val="0"/>
          <w:numId w:val="0"/>
        </w:numPr>
        <w:rPr>
          <w:rFonts w:eastAsia="Calibri" w:cs="Arial"/>
          <w:u w:val="single"/>
        </w:rPr>
      </w:pPr>
      <w:r w:rsidRPr="00421881">
        <w:rPr>
          <w:rFonts w:eastAsia="Calibri" w:cs="Arial"/>
          <w:iCs/>
          <w:u w:val="single"/>
        </w:rPr>
        <w:t>Highlights of the year</w:t>
      </w:r>
    </w:p>
    <w:p w:rsidR="00C55AA0" w:rsidRDefault="00C55AA0">
      <w:pPr>
        <w:pStyle w:val="ListParagraph"/>
        <w:numPr>
          <w:ilvl w:val="0"/>
          <w:numId w:val="0"/>
        </w:numPr>
        <w:rPr>
          <w:rFonts w:eastAsia="Calibri" w:cs="Arial"/>
        </w:rPr>
      </w:pPr>
    </w:p>
    <w:p w:rsidR="00C55AA0" w:rsidRDefault="00421881">
      <w:pPr>
        <w:pStyle w:val="ListParagraph"/>
        <w:rPr>
          <w:rFonts w:eastAsia="Calibri" w:cs="Arial"/>
        </w:rPr>
      </w:pPr>
      <w:r>
        <w:rPr>
          <w:rFonts w:eastAsia="Calibri" w:cs="Arial"/>
        </w:rPr>
        <w:t>Each year is slightly different and 2018-19 was a very busy year full of new things. That meant that we did lots of events to help people engage and understand the reforms, and preparing some tenders and commissions to procure support for more detailed fol</w:t>
      </w:r>
      <w:r>
        <w:rPr>
          <w:rFonts w:eastAsia="Calibri" w:cs="Arial"/>
        </w:rPr>
        <w:t xml:space="preserve">low-up work. </w:t>
      </w:r>
    </w:p>
    <w:p w:rsidR="00C55AA0" w:rsidRDefault="00421881">
      <w:pPr>
        <w:pStyle w:val="ListParagraph"/>
        <w:numPr>
          <w:ilvl w:val="0"/>
          <w:numId w:val="0"/>
        </w:numPr>
        <w:rPr>
          <w:rFonts w:eastAsia="Calibri" w:cs="Arial"/>
        </w:rPr>
      </w:pPr>
      <w:r>
        <w:rPr>
          <w:rFonts w:eastAsia="Calibri" w:cs="Arial"/>
        </w:rPr>
        <w:t xml:space="preserve">. </w:t>
      </w:r>
    </w:p>
    <w:p w:rsidR="00C55AA0" w:rsidRDefault="00421881">
      <w:pPr>
        <w:pStyle w:val="ListParagraph"/>
        <w:rPr>
          <w:rFonts w:eastAsia="Calibri" w:cs="Arial"/>
        </w:rPr>
      </w:pPr>
      <w:r>
        <w:rPr>
          <w:rFonts w:eastAsia="Calibri" w:cs="Arial"/>
        </w:rPr>
        <w:lastRenderedPageBreak/>
        <w:t xml:space="preserve">For the first time ever we had two iterations of the </w:t>
      </w:r>
      <w:hyperlink r:id="rId11" w:history="1">
        <w:r>
          <w:rPr>
            <w:rStyle w:val="Hyperlink"/>
            <w:rFonts w:eastAsia="Calibri" w:cs="Arial"/>
          </w:rPr>
          <w:t>National Planning Policy Framework</w:t>
        </w:r>
      </w:hyperlink>
      <w:r>
        <w:rPr>
          <w:rFonts w:eastAsia="Calibri" w:cs="Arial"/>
        </w:rPr>
        <w:t xml:space="preserve"> - the first in July 2018 with some minor updates in Fe</w:t>
      </w:r>
      <w:r>
        <w:rPr>
          <w:rFonts w:eastAsia="Calibri" w:cs="Arial"/>
        </w:rPr>
        <w:t>bruary 2019. This has led to two support offers (currently in pilot):</w:t>
      </w:r>
    </w:p>
    <w:p w:rsidR="00C55AA0" w:rsidRDefault="00C55AA0">
      <w:pPr>
        <w:pStyle w:val="ListParagraph"/>
        <w:numPr>
          <w:ilvl w:val="0"/>
          <w:numId w:val="0"/>
        </w:numPr>
        <w:rPr>
          <w:rFonts w:eastAsia="Calibri" w:cs="Arial"/>
        </w:rPr>
      </w:pPr>
    </w:p>
    <w:p w:rsidR="00C55AA0" w:rsidRDefault="00421881">
      <w:pPr>
        <w:pStyle w:val="ListParagraph"/>
        <w:numPr>
          <w:ilvl w:val="1"/>
          <w:numId w:val="1"/>
        </w:numPr>
        <w:rPr>
          <w:rFonts w:eastAsia="Calibri" w:cs="Arial"/>
        </w:rPr>
      </w:pPr>
      <w:r>
        <w:rPr>
          <w:rFonts w:eastAsia="Calibri" w:cs="Arial"/>
        </w:rPr>
        <w:t>Councils must now review their plans within 5 years of adoption to assess whether they need updating [</w:t>
      </w:r>
      <w:hyperlink r:id="rId12" w:history="1">
        <w:r>
          <w:rPr>
            <w:rStyle w:val="Hyperlink"/>
            <w:rFonts w:eastAsia="Calibri" w:cs="Arial"/>
          </w:rPr>
          <w:t>para 33</w:t>
        </w:r>
      </w:hyperlink>
      <w:r>
        <w:rPr>
          <w:rFonts w:eastAsia="Calibri" w:cs="Arial"/>
        </w:rPr>
        <w:t xml:space="preserve">]. We hope to establish how this review process might work, to avoid significant cost or a process that undermines the long-term outlook of a local plan. </w:t>
      </w:r>
    </w:p>
    <w:p w:rsidR="00C55AA0" w:rsidRDefault="00C55AA0">
      <w:pPr>
        <w:pStyle w:val="ListParagraph"/>
        <w:numPr>
          <w:ilvl w:val="0"/>
          <w:numId w:val="0"/>
        </w:numPr>
        <w:ind w:left="360"/>
        <w:rPr>
          <w:rFonts w:eastAsia="Calibri" w:cs="Arial"/>
        </w:rPr>
      </w:pPr>
    </w:p>
    <w:p w:rsidR="00C55AA0" w:rsidRDefault="00421881">
      <w:pPr>
        <w:pStyle w:val="ListParagraph"/>
        <w:numPr>
          <w:ilvl w:val="1"/>
          <w:numId w:val="1"/>
        </w:numPr>
        <w:rPr>
          <w:rFonts w:eastAsia="Calibri" w:cs="Arial"/>
        </w:rPr>
      </w:pPr>
      <w:r>
        <w:rPr>
          <w:rFonts w:eastAsia="Calibri" w:cs="Arial"/>
        </w:rPr>
        <w:t xml:space="preserve">While the concept of proportionality is not new to plan-making, this more frequent </w:t>
      </w:r>
      <w:r>
        <w:rPr>
          <w:rFonts w:eastAsia="Calibri" w:cs="Arial"/>
        </w:rPr>
        <w:t xml:space="preserve">review process and the way in which housing evidence is changing means that we are going to revise and improve </w:t>
      </w:r>
      <w:hyperlink r:id="rId13" w:history="1">
        <w:r>
          <w:rPr>
            <w:rStyle w:val="Hyperlink"/>
            <w:rFonts w:eastAsia="Calibri" w:cs="Arial"/>
          </w:rPr>
          <w:t>our advic</w:t>
        </w:r>
        <w:r>
          <w:rPr>
            <w:rStyle w:val="Hyperlink"/>
            <w:rFonts w:eastAsia="Calibri" w:cs="Arial"/>
          </w:rPr>
          <w:t>e on evidence</w:t>
        </w:r>
      </w:hyperlink>
      <w:r>
        <w:rPr>
          <w:rFonts w:eastAsia="Calibri" w:cs="Arial"/>
        </w:rPr>
        <w:t xml:space="preserve">. </w:t>
      </w:r>
    </w:p>
    <w:p w:rsidR="00C55AA0" w:rsidRDefault="00C55AA0">
      <w:pPr>
        <w:pStyle w:val="ListParagraph"/>
        <w:numPr>
          <w:ilvl w:val="0"/>
          <w:numId w:val="0"/>
        </w:numPr>
        <w:rPr>
          <w:rFonts w:eastAsia="Calibri" w:cs="Arial"/>
        </w:rPr>
      </w:pPr>
    </w:p>
    <w:p w:rsidR="00C55AA0" w:rsidRDefault="00421881">
      <w:pPr>
        <w:pStyle w:val="ListParagraph"/>
        <w:rPr>
          <w:rFonts w:eastAsia="Calibri" w:cs="Arial"/>
        </w:rPr>
      </w:pPr>
      <w:r>
        <w:rPr>
          <w:rFonts w:eastAsia="Calibri" w:cs="Arial"/>
        </w:rPr>
        <w:t xml:space="preserve">Alongside the NPPF we also had the introduction of the </w:t>
      </w:r>
      <w:hyperlink r:id="rId14" w:history="1">
        <w:r>
          <w:rPr>
            <w:rStyle w:val="Hyperlink"/>
            <w:rFonts w:eastAsia="Calibri" w:cs="Arial"/>
          </w:rPr>
          <w:t>Housing Delivery Test</w:t>
        </w:r>
      </w:hyperlink>
      <w:r>
        <w:rPr>
          <w:rFonts w:eastAsia="Calibri" w:cs="Arial"/>
        </w:rPr>
        <w:t>. Originally scheduled for November 2018 it was actually publi</w:t>
      </w:r>
      <w:r>
        <w:rPr>
          <w:rFonts w:eastAsia="Calibri" w:cs="Arial"/>
        </w:rPr>
        <w:t xml:space="preserve">shed in February 2019. This applies a monitoring regime to the delivery of housing and creates a series of sanctions for failing the test. We worked with a number of pilot councils to </w:t>
      </w:r>
      <w:hyperlink r:id="rId15" w:history="1">
        <w:r>
          <w:rPr>
            <w:rStyle w:val="Hyperlink"/>
            <w:rFonts w:eastAsia="Calibri" w:cs="Arial"/>
          </w:rPr>
          <w:t>prepare guidance</w:t>
        </w:r>
      </w:hyperlink>
      <w:r>
        <w:rPr>
          <w:rFonts w:eastAsia="Calibri" w:cs="Arial"/>
        </w:rPr>
        <w:t xml:space="preserve"> and technical support and are now working with the first cohort of 108 councils.  </w:t>
      </w:r>
    </w:p>
    <w:p w:rsidR="00C55AA0" w:rsidRDefault="00C55AA0">
      <w:pPr>
        <w:pStyle w:val="ListParagraph"/>
        <w:numPr>
          <w:ilvl w:val="0"/>
          <w:numId w:val="0"/>
        </w:numPr>
        <w:rPr>
          <w:rFonts w:eastAsia="Calibri" w:cs="Arial"/>
        </w:rPr>
      </w:pPr>
    </w:p>
    <w:p w:rsidR="00C55AA0" w:rsidRDefault="00421881">
      <w:pPr>
        <w:pStyle w:val="ListParagraph"/>
        <w:rPr>
          <w:rFonts w:eastAsia="Calibri" w:cs="Arial"/>
        </w:rPr>
      </w:pPr>
      <w:r>
        <w:rPr>
          <w:rFonts w:eastAsia="Calibri" w:cs="Arial"/>
        </w:rPr>
        <w:t>Strategic planning (</w:t>
      </w:r>
      <w:proofErr w:type="spellStart"/>
      <w:r>
        <w:rPr>
          <w:rFonts w:eastAsia="Calibri" w:cs="Arial"/>
        </w:rPr>
        <w:t>ie</w:t>
      </w:r>
      <w:proofErr w:type="spellEnd"/>
      <w:r>
        <w:rPr>
          <w:rFonts w:eastAsia="Calibri" w:cs="Arial"/>
        </w:rPr>
        <w:t xml:space="preserve"> using strategic planning policies across broad areas that often reflect functional geographies like city regions) has started to happen in several areas. Keen to encourage this </w:t>
      </w:r>
      <w:r>
        <w:rPr>
          <w:rFonts w:eastAsia="Calibri" w:cs="Arial"/>
        </w:rPr>
        <w:t>“bottom-up” approach MHCLG suggested that we apply for s</w:t>
      </w:r>
      <w:r>
        <w:rPr>
          <w:rFonts w:eastAsia="Calibri" w:cs="Arial"/>
        </w:rPr>
        <w:t xml:space="preserve">ome </w:t>
      </w:r>
      <w:hyperlink r:id="rId16" w:history="1">
        <w:r>
          <w:rPr>
            <w:rStyle w:val="Hyperlink"/>
            <w:rFonts w:eastAsia="Calibri" w:cs="Arial"/>
          </w:rPr>
          <w:t>Planning Delivery Fund</w:t>
        </w:r>
      </w:hyperlink>
      <w:r>
        <w:rPr>
          <w:rFonts w:eastAsia="Calibri" w:cs="Arial"/>
        </w:rPr>
        <w:t xml:space="preserve"> money to allow us to scale up and intensify our support. In September we were successful in applying for £410k to support five places an</w:t>
      </w:r>
      <w:r>
        <w:rPr>
          <w:rFonts w:eastAsia="Calibri" w:cs="Arial"/>
        </w:rPr>
        <w:t xml:space="preserve">d produce three topic papers. </w:t>
      </w:r>
    </w:p>
    <w:p w:rsidR="00C55AA0" w:rsidRDefault="00C55AA0">
      <w:pPr>
        <w:pStyle w:val="ListParagraph"/>
        <w:numPr>
          <w:ilvl w:val="0"/>
          <w:numId w:val="0"/>
        </w:numPr>
        <w:rPr>
          <w:rFonts w:eastAsia="Calibri" w:cs="Arial"/>
        </w:rPr>
      </w:pPr>
    </w:p>
    <w:p w:rsidR="00C55AA0" w:rsidRDefault="00C55AA0">
      <w:pPr>
        <w:pStyle w:val="ListParagraph"/>
        <w:numPr>
          <w:ilvl w:val="0"/>
          <w:numId w:val="0"/>
        </w:numPr>
        <w:rPr>
          <w:rFonts w:eastAsia="Calibri" w:cs="Arial"/>
        </w:rPr>
      </w:pPr>
    </w:p>
    <w:p w:rsidR="00C55AA0" w:rsidRPr="00421881" w:rsidRDefault="00421881">
      <w:pPr>
        <w:pStyle w:val="ListParagraph"/>
        <w:numPr>
          <w:ilvl w:val="0"/>
          <w:numId w:val="0"/>
        </w:numPr>
        <w:rPr>
          <w:rFonts w:eastAsia="Calibri" w:cs="Arial"/>
          <w:iCs/>
          <w:u w:val="single"/>
        </w:rPr>
      </w:pPr>
      <w:r w:rsidRPr="00421881">
        <w:rPr>
          <w:rFonts w:eastAsia="Calibri" w:cs="Arial"/>
          <w:iCs/>
          <w:u w:val="single"/>
        </w:rPr>
        <w:t>Financial</w:t>
      </w:r>
    </w:p>
    <w:p w:rsidR="00C55AA0" w:rsidRDefault="00C55AA0">
      <w:pPr>
        <w:pStyle w:val="ListParagraph"/>
        <w:numPr>
          <w:ilvl w:val="0"/>
          <w:numId w:val="0"/>
        </w:numPr>
        <w:rPr>
          <w:rFonts w:eastAsia="Calibri" w:cs="Arial"/>
        </w:rPr>
      </w:pPr>
    </w:p>
    <w:p w:rsidR="00C55AA0" w:rsidRDefault="00421881">
      <w:pPr>
        <w:pStyle w:val="ListParagraph"/>
        <w:rPr>
          <w:rFonts w:eastAsia="Calibri" w:cs="Arial"/>
        </w:rPr>
      </w:pPr>
      <w:r>
        <w:rPr>
          <w:rFonts w:eastAsia="Calibri" w:cs="Arial"/>
        </w:rPr>
        <w:t>A basic part of delivering the programme is to get maximum benefit for councils from the grant which is a maximum of £1m. This year we were unusually close at 99.6%</w:t>
      </w:r>
    </w:p>
    <w:p w:rsidR="00C55AA0" w:rsidRDefault="00C55AA0">
      <w:pPr>
        <w:pStyle w:val="ListParagraph"/>
        <w:numPr>
          <w:ilvl w:val="0"/>
          <w:numId w:val="0"/>
        </w:numPr>
        <w:rPr>
          <w:rFonts w:eastAsia="Calibri" w:cs="Arial"/>
        </w:rPr>
      </w:pPr>
    </w:p>
    <w:tbl>
      <w:tblPr>
        <w:tblStyle w:val="TableGrid"/>
        <w:tblW w:w="8522" w:type="dxa"/>
        <w:tblLayout w:type="fixed"/>
        <w:tblLook w:val="04A0" w:firstRow="1" w:lastRow="0" w:firstColumn="1" w:lastColumn="0" w:noHBand="0" w:noVBand="1"/>
      </w:tblPr>
      <w:tblGrid>
        <w:gridCol w:w="1432"/>
        <w:gridCol w:w="1663"/>
        <w:gridCol w:w="5427"/>
      </w:tblGrid>
      <w:tr w:rsidR="00C55AA0">
        <w:tc>
          <w:tcPr>
            <w:tcW w:w="1432" w:type="dxa"/>
            <w:shd w:val="clear" w:color="auto" w:fill="E2EFD9" w:themeFill="accent6" w:themeFillTint="32"/>
          </w:tcPr>
          <w:p w:rsidR="00C55AA0" w:rsidRDefault="00421881">
            <w:pPr>
              <w:widowControl w:val="0"/>
              <w:jc w:val="both"/>
            </w:pPr>
            <w:r>
              <w:t>Quarter</w:t>
            </w:r>
          </w:p>
        </w:tc>
        <w:tc>
          <w:tcPr>
            <w:tcW w:w="1663" w:type="dxa"/>
            <w:shd w:val="clear" w:color="auto" w:fill="E2EFD9" w:themeFill="accent6" w:themeFillTint="32"/>
          </w:tcPr>
          <w:p w:rsidR="00C55AA0" w:rsidRDefault="00421881">
            <w:pPr>
              <w:widowControl w:val="0"/>
              <w:jc w:val="both"/>
            </w:pPr>
            <w:r>
              <w:t>Forecast</w:t>
            </w:r>
          </w:p>
        </w:tc>
        <w:tc>
          <w:tcPr>
            <w:tcW w:w="5427" w:type="dxa"/>
            <w:shd w:val="clear" w:color="auto" w:fill="E2EFD9" w:themeFill="accent6" w:themeFillTint="32"/>
          </w:tcPr>
          <w:p w:rsidR="00C55AA0" w:rsidRDefault="00421881">
            <w:pPr>
              <w:widowControl w:val="0"/>
              <w:jc w:val="both"/>
            </w:pPr>
            <w:r>
              <w:t>Actual / notes</w:t>
            </w:r>
          </w:p>
        </w:tc>
      </w:tr>
      <w:tr w:rsidR="00C55AA0">
        <w:tc>
          <w:tcPr>
            <w:tcW w:w="1432" w:type="dxa"/>
          </w:tcPr>
          <w:p w:rsidR="00C55AA0" w:rsidRDefault="00421881">
            <w:pPr>
              <w:widowControl w:val="0"/>
              <w:jc w:val="both"/>
            </w:pPr>
            <w:r>
              <w:t>Q01</w:t>
            </w:r>
          </w:p>
        </w:tc>
        <w:tc>
          <w:tcPr>
            <w:tcW w:w="1663" w:type="dxa"/>
          </w:tcPr>
          <w:p w:rsidR="00C55AA0" w:rsidRDefault="00421881">
            <w:pPr>
              <w:widowControl w:val="0"/>
              <w:jc w:val="both"/>
            </w:pPr>
            <w:r>
              <w:t>£180</w:t>
            </w:r>
          </w:p>
        </w:tc>
        <w:tc>
          <w:tcPr>
            <w:tcW w:w="5427" w:type="dxa"/>
          </w:tcPr>
          <w:p w:rsidR="00C55AA0" w:rsidRDefault="00421881">
            <w:pPr>
              <w:widowControl w:val="0"/>
              <w:jc w:val="both"/>
            </w:pPr>
            <w:r>
              <w:t>£159k submitted</w:t>
            </w:r>
          </w:p>
        </w:tc>
      </w:tr>
      <w:tr w:rsidR="00C55AA0">
        <w:tc>
          <w:tcPr>
            <w:tcW w:w="1432" w:type="dxa"/>
          </w:tcPr>
          <w:p w:rsidR="00C55AA0" w:rsidRDefault="00421881">
            <w:pPr>
              <w:widowControl w:val="0"/>
              <w:jc w:val="both"/>
            </w:pPr>
            <w:r>
              <w:t>Q02</w:t>
            </w:r>
          </w:p>
        </w:tc>
        <w:tc>
          <w:tcPr>
            <w:tcW w:w="1663" w:type="dxa"/>
          </w:tcPr>
          <w:p w:rsidR="00C55AA0" w:rsidRDefault="00421881">
            <w:pPr>
              <w:widowControl w:val="0"/>
              <w:jc w:val="both"/>
            </w:pPr>
            <w:r>
              <w:t>£230</w:t>
            </w:r>
          </w:p>
        </w:tc>
        <w:tc>
          <w:tcPr>
            <w:tcW w:w="5427" w:type="dxa"/>
          </w:tcPr>
          <w:p w:rsidR="00C55AA0" w:rsidRDefault="00421881">
            <w:pPr>
              <w:widowControl w:val="0"/>
              <w:jc w:val="both"/>
            </w:pPr>
            <w:r>
              <w:t xml:space="preserve">£221k submitted. </w:t>
            </w:r>
          </w:p>
        </w:tc>
      </w:tr>
      <w:tr w:rsidR="00C55AA0">
        <w:tc>
          <w:tcPr>
            <w:tcW w:w="1432" w:type="dxa"/>
          </w:tcPr>
          <w:p w:rsidR="00C55AA0" w:rsidRDefault="00421881">
            <w:pPr>
              <w:widowControl w:val="0"/>
              <w:jc w:val="both"/>
            </w:pPr>
            <w:r>
              <w:t>Q03</w:t>
            </w:r>
          </w:p>
        </w:tc>
        <w:tc>
          <w:tcPr>
            <w:tcW w:w="1663" w:type="dxa"/>
          </w:tcPr>
          <w:p w:rsidR="00C55AA0" w:rsidRDefault="00421881">
            <w:pPr>
              <w:widowControl w:val="0"/>
              <w:jc w:val="both"/>
            </w:pPr>
            <w:r>
              <w:t>£230</w:t>
            </w:r>
          </w:p>
        </w:tc>
        <w:tc>
          <w:tcPr>
            <w:tcW w:w="5427" w:type="dxa"/>
          </w:tcPr>
          <w:p w:rsidR="00C55AA0" w:rsidRDefault="00421881">
            <w:pPr>
              <w:widowControl w:val="0"/>
              <w:jc w:val="both"/>
            </w:pPr>
            <w:r>
              <w:t>£251k submitted</w:t>
            </w:r>
          </w:p>
        </w:tc>
      </w:tr>
      <w:tr w:rsidR="00C55AA0">
        <w:tc>
          <w:tcPr>
            <w:tcW w:w="1432" w:type="dxa"/>
          </w:tcPr>
          <w:p w:rsidR="00C55AA0" w:rsidRDefault="00421881">
            <w:pPr>
              <w:widowControl w:val="0"/>
              <w:jc w:val="both"/>
            </w:pPr>
            <w:r>
              <w:t>Q04</w:t>
            </w:r>
          </w:p>
        </w:tc>
        <w:tc>
          <w:tcPr>
            <w:tcW w:w="1663" w:type="dxa"/>
          </w:tcPr>
          <w:p w:rsidR="00C55AA0" w:rsidRDefault="00421881">
            <w:pPr>
              <w:widowControl w:val="0"/>
              <w:jc w:val="both"/>
            </w:pPr>
            <w:r>
              <w:t>£360</w:t>
            </w:r>
          </w:p>
        </w:tc>
        <w:tc>
          <w:tcPr>
            <w:tcW w:w="5427" w:type="dxa"/>
          </w:tcPr>
          <w:p w:rsidR="00C55AA0" w:rsidRDefault="00421881">
            <w:pPr>
              <w:widowControl w:val="0"/>
              <w:jc w:val="both"/>
            </w:pPr>
            <w:r>
              <w:t>£365k submitted</w:t>
            </w:r>
          </w:p>
        </w:tc>
      </w:tr>
      <w:tr w:rsidR="00C55AA0">
        <w:tc>
          <w:tcPr>
            <w:tcW w:w="1432" w:type="dxa"/>
          </w:tcPr>
          <w:p w:rsidR="00C55AA0" w:rsidRDefault="00421881">
            <w:pPr>
              <w:widowControl w:val="0"/>
              <w:jc w:val="both"/>
            </w:pPr>
            <w:r>
              <w:t>Total</w:t>
            </w:r>
          </w:p>
        </w:tc>
        <w:tc>
          <w:tcPr>
            <w:tcW w:w="1663" w:type="dxa"/>
          </w:tcPr>
          <w:p w:rsidR="00C55AA0" w:rsidRDefault="00421881">
            <w:pPr>
              <w:widowControl w:val="0"/>
              <w:jc w:val="both"/>
            </w:pPr>
            <w:r>
              <w:t>£1000</w:t>
            </w:r>
          </w:p>
        </w:tc>
        <w:tc>
          <w:tcPr>
            <w:tcW w:w="5427" w:type="dxa"/>
          </w:tcPr>
          <w:p w:rsidR="00C55AA0" w:rsidRDefault="00421881">
            <w:pPr>
              <w:widowControl w:val="0"/>
              <w:jc w:val="both"/>
            </w:pPr>
            <w:r>
              <w:t xml:space="preserve">£996k   </w:t>
            </w:r>
          </w:p>
        </w:tc>
      </w:tr>
    </w:tbl>
    <w:p w:rsidR="00C55AA0" w:rsidRDefault="00C55AA0">
      <w:pPr>
        <w:pStyle w:val="ListParagraph"/>
        <w:numPr>
          <w:ilvl w:val="0"/>
          <w:numId w:val="0"/>
        </w:numPr>
        <w:rPr>
          <w:rFonts w:eastAsia="Calibri" w:cs="Arial"/>
        </w:rPr>
      </w:pPr>
    </w:p>
    <w:p w:rsidR="00C55AA0" w:rsidRDefault="00C55AA0">
      <w:pPr>
        <w:pStyle w:val="ListParagraph"/>
        <w:numPr>
          <w:ilvl w:val="0"/>
          <w:numId w:val="0"/>
        </w:numPr>
        <w:rPr>
          <w:rFonts w:eastAsia="Calibri" w:cs="Arial"/>
        </w:rPr>
      </w:pPr>
    </w:p>
    <w:p w:rsidR="00C55AA0" w:rsidRDefault="00421881">
      <w:pPr>
        <w:pStyle w:val="ListParagraph"/>
        <w:rPr>
          <w:rFonts w:eastAsia="Calibri" w:cs="Arial"/>
        </w:rPr>
      </w:pPr>
      <w:r>
        <w:rPr>
          <w:rFonts w:eastAsia="Calibri" w:cs="Arial"/>
        </w:rPr>
        <w:t xml:space="preserve">This overall figure is an excellent result. To achieve this the initial work programme agreed was varied to respond to changing timetables and shifting policy priorities. </w:t>
      </w:r>
    </w:p>
    <w:p w:rsidR="00C55AA0" w:rsidRDefault="00C55AA0">
      <w:pPr>
        <w:pStyle w:val="ListParagraph"/>
        <w:numPr>
          <w:ilvl w:val="0"/>
          <w:numId w:val="0"/>
        </w:numPr>
        <w:rPr>
          <w:rFonts w:eastAsia="Calibri" w:cs="Arial"/>
        </w:rPr>
      </w:pPr>
    </w:p>
    <w:p w:rsidR="00C55AA0" w:rsidRDefault="00421881">
      <w:pPr>
        <w:pStyle w:val="ListParagraph"/>
        <w:rPr>
          <w:rFonts w:eastAsia="Calibri" w:cs="Arial"/>
        </w:rPr>
      </w:pPr>
      <w:r>
        <w:rPr>
          <w:rFonts w:eastAsia="Calibri" w:cs="Arial"/>
        </w:rPr>
        <w:t>Each year we have a separate audit to ensure the grant conditions are satisfied. In</w:t>
      </w:r>
      <w:r>
        <w:rPr>
          <w:rFonts w:eastAsia="Calibri" w:cs="Arial"/>
        </w:rPr>
        <w:t xml:space="preserve"> July 2018 we learned we had a clean audit for the previous year. </w:t>
      </w:r>
    </w:p>
    <w:p w:rsidR="00C55AA0" w:rsidRDefault="00C55AA0">
      <w:pPr>
        <w:pStyle w:val="ListParagraph"/>
        <w:numPr>
          <w:ilvl w:val="0"/>
          <w:numId w:val="0"/>
        </w:numPr>
        <w:rPr>
          <w:rFonts w:eastAsia="Calibri" w:cs="Arial"/>
        </w:rPr>
      </w:pPr>
    </w:p>
    <w:p w:rsidR="00C55AA0" w:rsidRPr="00421881" w:rsidRDefault="00421881">
      <w:pPr>
        <w:pStyle w:val="ListParagraph"/>
        <w:numPr>
          <w:ilvl w:val="0"/>
          <w:numId w:val="0"/>
        </w:numPr>
        <w:rPr>
          <w:rFonts w:eastAsia="Calibri" w:cs="Arial"/>
          <w:iCs/>
          <w:u w:val="single"/>
        </w:rPr>
      </w:pPr>
      <w:r w:rsidRPr="00421881">
        <w:rPr>
          <w:rFonts w:eastAsia="Calibri" w:cs="Arial"/>
          <w:iCs/>
          <w:u w:val="single"/>
        </w:rPr>
        <w:t>Engagement, reach and quality</w:t>
      </w:r>
    </w:p>
    <w:p w:rsidR="00C55AA0" w:rsidRDefault="00C55AA0">
      <w:pPr>
        <w:pStyle w:val="ListParagraph"/>
        <w:numPr>
          <w:ilvl w:val="0"/>
          <w:numId w:val="0"/>
        </w:numPr>
        <w:rPr>
          <w:rFonts w:eastAsia="Calibri" w:cs="Arial"/>
        </w:rPr>
      </w:pPr>
    </w:p>
    <w:p w:rsidR="00C55AA0" w:rsidRDefault="00421881">
      <w:pPr>
        <w:pStyle w:val="ListParagraph"/>
        <w:rPr>
          <w:rFonts w:eastAsia="Calibri" w:cs="Arial"/>
        </w:rPr>
      </w:pPr>
      <w:r>
        <w:rPr>
          <w:rFonts w:eastAsia="Calibri" w:cs="Arial"/>
        </w:rPr>
        <w:t xml:space="preserve">The quality of work remains truly outstanding as tracked by our use of delegate feedback forms </w:t>
      </w:r>
    </w:p>
    <w:p w:rsidR="00C55AA0" w:rsidRDefault="00C55AA0">
      <w:pPr>
        <w:pStyle w:val="ListParagraph"/>
        <w:numPr>
          <w:ilvl w:val="0"/>
          <w:numId w:val="0"/>
        </w:numPr>
        <w:rPr>
          <w:rFonts w:eastAsia="Calibri" w:cs="Arial"/>
        </w:rPr>
      </w:pPr>
    </w:p>
    <w:p w:rsidR="00C55AA0" w:rsidRDefault="00421881">
      <w:pPr>
        <w:pStyle w:val="ListParagraph"/>
        <w:numPr>
          <w:ilvl w:val="0"/>
          <w:numId w:val="0"/>
        </w:numPr>
        <w:rPr>
          <w:rFonts w:eastAsia="Calibri" w:cs="Arial"/>
        </w:rPr>
      </w:pPr>
      <w:r>
        <w:rPr>
          <w:noProof/>
          <w:lang w:eastAsia="en-GB"/>
        </w:rPr>
        <w:drawing>
          <wp:inline distT="0" distB="0" distL="114300" distR="114300">
            <wp:extent cx="5728335" cy="4498340"/>
            <wp:effectExtent l="0" t="0" r="5715" b="165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17"/>
                    <a:stretch>
                      <a:fillRect/>
                    </a:stretch>
                  </pic:blipFill>
                  <pic:spPr>
                    <a:xfrm>
                      <a:off x="0" y="0"/>
                      <a:ext cx="5728335" cy="4498340"/>
                    </a:xfrm>
                    <a:prstGeom prst="rect">
                      <a:avLst/>
                    </a:prstGeom>
                    <a:noFill/>
                    <a:ln w="9525">
                      <a:noFill/>
                    </a:ln>
                  </pic:spPr>
                </pic:pic>
              </a:graphicData>
            </a:graphic>
          </wp:inline>
        </w:drawing>
      </w:r>
    </w:p>
    <w:p w:rsidR="00C55AA0" w:rsidRDefault="00C55AA0">
      <w:pPr>
        <w:pStyle w:val="ListParagraph"/>
        <w:numPr>
          <w:ilvl w:val="0"/>
          <w:numId w:val="0"/>
        </w:numPr>
        <w:rPr>
          <w:rFonts w:eastAsia="Calibri" w:cs="Arial"/>
        </w:rPr>
      </w:pPr>
    </w:p>
    <w:p w:rsidR="00C55AA0" w:rsidRDefault="00C55AA0">
      <w:pPr>
        <w:pStyle w:val="ListParagraph"/>
        <w:numPr>
          <w:ilvl w:val="0"/>
          <w:numId w:val="0"/>
        </w:numPr>
        <w:rPr>
          <w:rFonts w:eastAsia="Calibri" w:cs="Arial"/>
        </w:rPr>
      </w:pPr>
    </w:p>
    <w:p w:rsidR="00C55AA0" w:rsidRDefault="00421881">
      <w:pPr>
        <w:pStyle w:val="ListParagraph"/>
        <w:rPr>
          <w:rFonts w:eastAsia="Calibri" w:cs="Arial"/>
        </w:rPr>
      </w:pPr>
      <w:r>
        <w:rPr>
          <w:rFonts w:eastAsia="Calibri" w:cs="Arial"/>
        </w:rPr>
        <w:t xml:space="preserve">Our target for events is 90% good &amp; excellent. Our </w:t>
      </w:r>
      <w:r>
        <w:rPr>
          <w:rFonts w:eastAsia="Calibri" w:cs="Arial"/>
        </w:rPr>
        <w:t>overall result for the year is over 99%.</w:t>
      </w:r>
    </w:p>
    <w:p w:rsidR="00C55AA0" w:rsidRDefault="00C55AA0">
      <w:pPr>
        <w:pStyle w:val="ListParagraph"/>
        <w:numPr>
          <w:ilvl w:val="0"/>
          <w:numId w:val="0"/>
        </w:numPr>
        <w:rPr>
          <w:rFonts w:eastAsia="Calibri" w:cs="Arial"/>
        </w:rPr>
      </w:pPr>
    </w:p>
    <w:p w:rsidR="00421881" w:rsidRDefault="00421881" w:rsidP="00421881">
      <w:pPr>
        <w:pStyle w:val="ListParagraph"/>
        <w:rPr>
          <w:rFonts w:eastAsia="Calibri" w:cs="Arial"/>
        </w:rPr>
      </w:pPr>
      <w:r>
        <w:rPr>
          <w:rFonts w:eastAsia="Calibri" w:cs="Arial"/>
        </w:rPr>
        <w:lastRenderedPageBreak/>
        <w:t xml:space="preserve">Many of our events were supported by officials from MHCLG and this kind of direct engagement was extremely popular with delegates. </w:t>
      </w:r>
    </w:p>
    <w:p w:rsidR="00421881" w:rsidRDefault="00421881" w:rsidP="00421881">
      <w:pPr>
        <w:pStyle w:val="ListParagraph"/>
        <w:numPr>
          <w:ilvl w:val="0"/>
          <w:numId w:val="0"/>
        </w:numPr>
        <w:ind w:left="360"/>
        <w:rPr>
          <w:rFonts w:eastAsia="Calibri" w:cs="Arial"/>
        </w:rPr>
      </w:pPr>
    </w:p>
    <w:p w:rsidR="00C55AA0" w:rsidRPr="00421881" w:rsidRDefault="00421881" w:rsidP="00421881">
      <w:pPr>
        <w:pStyle w:val="ListParagraph"/>
        <w:rPr>
          <w:rFonts w:eastAsia="Calibri" w:cs="Arial"/>
        </w:rPr>
      </w:pPr>
      <w:r w:rsidRPr="00421881">
        <w:rPr>
          <w:rFonts w:eastAsia="Calibri" w:cs="Arial"/>
        </w:rPr>
        <w:t xml:space="preserve">We track where delegates come from to ensure we are hitting our target audience. Black is </w:t>
      </w:r>
      <w:r w:rsidRPr="00421881">
        <w:rPr>
          <w:rFonts w:eastAsia="Calibri" w:cs="Arial"/>
        </w:rPr>
        <w:t xml:space="preserve">“no show” and the scale purple through yellow shows increasing attendance. </w:t>
      </w:r>
    </w:p>
    <w:p w:rsidR="00C55AA0" w:rsidRDefault="00C55AA0">
      <w:pPr>
        <w:pStyle w:val="ListParagraph"/>
        <w:numPr>
          <w:ilvl w:val="0"/>
          <w:numId w:val="0"/>
        </w:numPr>
        <w:rPr>
          <w:rFonts w:eastAsia="Calibri" w:cs="Arial"/>
        </w:rPr>
      </w:pPr>
    </w:p>
    <w:p w:rsidR="00C55AA0" w:rsidRDefault="00421881">
      <w:pPr>
        <w:pStyle w:val="ListParagraph"/>
        <w:numPr>
          <w:ilvl w:val="0"/>
          <w:numId w:val="0"/>
        </w:numPr>
        <w:rPr>
          <w:rFonts w:eastAsia="Calibri" w:cs="Arial"/>
        </w:rPr>
      </w:pPr>
      <w:r>
        <w:rPr>
          <w:rFonts w:eastAsia="Calibri" w:cs="Arial"/>
          <w:noProof/>
          <w:lang w:eastAsia="en-GB"/>
        </w:rPr>
        <w:drawing>
          <wp:inline distT="0" distB="0" distL="114300" distR="114300">
            <wp:extent cx="4114165" cy="5486400"/>
            <wp:effectExtent l="0" t="0" r="635" b="0"/>
            <wp:docPr id="4" name="Picture 4" descr="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ow"/>
                    <pic:cNvPicPr>
                      <a:picLocks noChangeAspect="1"/>
                    </pic:cNvPicPr>
                  </pic:nvPicPr>
                  <pic:blipFill>
                    <a:blip r:embed="rId18"/>
                    <a:stretch>
                      <a:fillRect/>
                    </a:stretch>
                  </pic:blipFill>
                  <pic:spPr>
                    <a:xfrm>
                      <a:off x="0" y="0"/>
                      <a:ext cx="4114165" cy="5486400"/>
                    </a:xfrm>
                    <a:prstGeom prst="rect">
                      <a:avLst/>
                    </a:prstGeom>
                  </pic:spPr>
                </pic:pic>
              </a:graphicData>
            </a:graphic>
          </wp:inline>
        </w:drawing>
      </w:r>
    </w:p>
    <w:p w:rsidR="00C55AA0" w:rsidRDefault="00C55AA0">
      <w:pPr>
        <w:pStyle w:val="ListParagraph"/>
        <w:numPr>
          <w:ilvl w:val="0"/>
          <w:numId w:val="0"/>
        </w:numPr>
        <w:rPr>
          <w:rFonts w:eastAsia="Calibri" w:cs="Arial"/>
        </w:rPr>
      </w:pPr>
    </w:p>
    <w:p w:rsidR="00C55AA0" w:rsidRDefault="00421881">
      <w:pPr>
        <w:pStyle w:val="ListParagraph"/>
        <w:rPr>
          <w:rFonts w:eastAsia="Calibri" w:cs="Arial"/>
        </w:rPr>
      </w:pPr>
      <w:r>
        <w:rPr>
          <w:rFonts w:eastAsia="Calibri" w:cs="Arial"/>
        </w:rPr>
        <w:t>The map is useful as a double-check to ensure that we don</w:t>
      </w:r>
      <w:r>
        <w:rPr>
          <w:rFonts w:eastAsia="Calibri" w:cs="Arial"/>
        </w:rPr>
        <w:t>’t become unwittingly Lond</w:t>
      </w:r>
      <w:r>
        <w:rPr>
          <w:rFonts w:eastAsia="Calibri" w:cs="Arial"/>
        </w:rPr>
        <w:t xml:space="preserve">on-centric. It represents a </w:t>
      </w:r>
      <w:proofErr w:type="spellStart"/>
      <w:r>
        <w:rPr>
          <w:rFonts w:eastAsia="Calibri" w:cs="Arial"/>
        </w:rPr>
        <w:t>worse case</w:t>
      </w:r>
      <w:proofErr w:type="spellEnd"/>
      <w:r>
        <w:rPr>
          <w:rFonts w:eastAsia="Calibri" w:cs="Arial"/>
        </w:rPr>
        <w:t xml:space="preserve"> scenario as our CRM system becomes confused by our work with joint councils and (increasingly) our interactions with combined authorities. </w:t>
      </w:r>
    </w:p>
    <w:p w:rsidR="00C55AA0" w:rsidRDefault="00421881">
      <w:pPr>
        <w:pStyle w:val="ListParagraph"/>
        <w:numPr>
          <w:ilvl w:val="0"/>
          <w:numId w:val="0"/>
        </w:numPr>
        <w:rPr>
          <w:rFonts w:eastAsia="Calibri" w:cs="Arial"/>
        </w:rPr>
      </w:pPr>
      <w:r>
        <w:rPr>
          <w:rFonts w:eastAsia="Calibri" w:cs="Arial"/>
        </w:rPr>
        <w:br w:type="page"/>
      </w:r>
    </w:p>
    <w:p w:rsidR="00C55AA0" w:rsidRDefault="00421881">
      <w:pPr>
        <w:pStyle w:val="ListParagraph"/>
        <w:rPr>
          <w:rFonts w:eastAsia="Calibri" w:cs="Arial"/>
        </w:rPr>
      </w:pPr>
      <w:r>
        <w:rPr>
          <w:rFonts w:eastAsia="Calibri" w:cs="Arial"/>
        </w:rPr>
        <w:lastRenderedPageBreak/>
        <w:t>This map shows where we don’t appear to have seen anyone in the year:</w:t>
      </w:r>
    </w:p>
    <w:p w:rsidR="00C55AA0" w:rsidRDefault="00C55AA0">
      <w:pPr>
        <w:pStyle w:val="ListParagraph"/>
        <w:numPr>
          <w:ilvl w:val="0"/>
          <w:numId w:val="0"/>
        </w:numPr>
        <w:rPr>
          <w:rFonts w:eastAsia="Calibri" w:cs="Arial"/>
        </w:rPr>
      </w:pPr>
    </w:p>
    <w:p w:rsidR="00C55AA0" w:rsidRDefault="00421881">
      <w:pPr>
        <w:pStyle w:val="ListParagraph"/>
        <w:numPr>
          <w:ilvl w:val="0"/>
          <w:numId w:val="0"/>
        </w:numPr>
        <w:rPr>
          <w:rFonts w:eastAsia="Calibri" w:cs="Arial"/>
        </w:rPr>
      </w:pPr>
      <w:r>
        <w:rPr>
          <w:rFonts w:eastAsia="Calibri" w:cs="Arial"/>
          <w:noProof/>
          <w:lang w:eastAsia="en-GB"/>
        </w:rPr>
        <w:drawing>
          <wp:inline distT="0" distB="0" distL="114300" distR="114300">
            <wp:extent cx="4408805" cy="5878830"/>
            <wp:effectExtent l="0" t="0" r="10795" b="7620"/>
            <wp:docPr id="6" name="Picture 6" descr="no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oshow"/>
                    <pic:cNvPicPr>
                      <a:picLocks noChangeAspect="1"/>
                    </pic:cNvPicPr>
                  </pic:nvPicPr>
                  <pic:blipFill>
                    <a:blip r:embed="rId19"/>
                    <a:stretch>
                      <a:fillRect/>
                    </a:stretch>
                  </pic:blipFill>
                  <pic:spPr>
                    <a:xfrm>
                      <a:off x="0" y="0"/>
                      <a:ext cx="4408805" cy="5878830"/>
                    </a:xfrm>
                    <a:prstGeom prst="rect">
                      <a:avLst/>
                    </a:prstGeom>
                  </pic:spPr>
                </pic:pic>
              </a:graphicData>
            </a:graphic>
          </wp:inline>
        </w:drawing>
      </w:r>
    </w:p>
    <w:p w:rsidR="00C55AA0" w:rsidRDefault="00C55AA0">
      <w:pPr>
        <w:pStyle w:val="ListParagraph"/>
        <w:numPr>
          <w:ilvl w:val="0"/>
          <w:numId w:val="0"/>
        </w:numPr>
        <w:rPr>
          <w:rFonts w:eastAsia="Calibri" w:cs="Arial"/>
        </w:rPr>
      </w:pPr>
    </w:p>
    <w:p w:rsidR="00C55AA0" w:rsidRDefault="00421881">
      <w:pPr>
        <w:pStyle w:val="ListParagraph"/>
        <w:rPr>
          <w:rFonts w:eastAsia="Calibri" w:cs="Arial"/>
        </w:rPr>
      </w:pPr>
      <w:r>
        <w:rPr>
          <w:rFonts w:eastAsia="Calibri" w:cs="Arial"/>
        </w:rPr>
        <w:t>I</w:t>
      </w:r>
      <w:r>
        <w:rPr>
          <w:rFonts w:eastAsia="Calibri" w:cs="Arial"/>
        </w:rPr>
        <w:t xml:space="preserve">t shows that we did not interact much with the National Parks (who mostly don’t have much interest in the housing delivery agenda). Other councils in this list have received other sorts of support from PAS.  </w:t>
      </w:r>
    </w:p>
    <w:p w:rsidR="00C55AA0" w:rsidRDefault="00C55AA0">
      <w:pPr>
        <w:pStyle w:val="ListParagraph"/>
        <w:numPr>
          <w:ilvl w:val="0"/>
          <w:numId w:val="0"/>
        </w:numPr>
        <w:rPr>
          <w:rFonts w:eastAsia="Calibri" w:cs="Arial"/>
        </w:rPr>
      </w:pPr>
    </w:p>
    <w:p w:rsidR="00C55AA0" w:rsidRDefault="00421881">
      <w:pPr>
        <w:pStyle w:val="ListParagraph"/>
        <w:rPr>
          <w:rFonts w:eastAsia="Calibri" w:cs="Arial"/>
        </w:rPr>
      </w:pPr>
      <w:r>
        <w:rPr>
          <w:rFonts w:eastAsia="Calibri" w:cs="Arial"/>
        </w:rPr>
        <w:t>We have continued to operate a strong peer net</w:t>
      </w:r>
      <w:r>
        <w:rPr>
          <w:rFonts w:eastAsia="Calibri" w:cs="Arial"/>
        </w:rPr>
        <w:t xml:space="preserve">work, the knowledge hub online resource and our monthly bulletin reaches all local planning authorities. </w:t>
      </w:r>
    </w:p>
    <w:p w:rsidR="00C55AA0" w:rsidRDefault="00C55AA0">
      <w:pPr>
        <w:spacing w:line="259" w:lineRule="auto"/>
        <w:rPr>
          <w:rStyle w:val="Style6"/>
        </w:rPr>
      </w:pPr>
    </w:p>
    <w:p w:rsidR="00C55AA0" w:rsidRDefault="00C55AA0">
      <w:pPr>
        <w:spacing w:line="259" w:lineRule="auto"/>
        <w:rPr>
          <w:rStyle w:val="Style6"/>
        </w:rPr>
      </w:pPr>
    </w:p>
    <w:p w:rsidR="00C55AA0" w:rsidRPr="00421881" w:rsidRDefault="00421881">
      <w:pPr>
        <w:pStyle w:val="ListParagraph"/>
        <w:numPr>
          <w:ilvl w:val="0"/>
          <w:numId w:val="0"/>
        </w:numPr>
        <w:rPr>
          <w:rFonts w:eastAsia="Calibri" w:cs="Arial"/>
          <w:iCs/>
          <w:u w:val="single"/>
        </w:rPr>
      </w:pPr>
      <w:r w:rsidRPr="00421881">
        <w:rPr>
          <w:rFonts w:eastAsia="Calibri" w:cs="Arial"/>
          <w:iCs/>
          <w:u w:val="single"/>
        </w:rPr>
        <w:t>Outcome measures</w:t>
      </w:r>
    </w:p>
    <w:p w:rsidR="00C55AA0" w:rsidRDefault="00C55AA0">
      <w:pPr>
        <w:pStyle w:val="ListParagraph"/>
        <w:numPr>
          <w:ilvl w:val="0"/>
          <w:numId w:val="0"/>
        </w:numPr>
        <w:rPr>
          <w:rFonts w:eastAsia="Calibri" w:cs="Arial"/>
          <w:i/>
          <w:iCs/>
        </w:rPr>
      </w:pPr>
    </w:p>
    <w:p w:rsidR="00C55AA0" w:rsidRDefault="00421881">
      <w:pPr>
        <w:pStyle w:val="ListParagraph"/>
        <w:rPr>
          <w:rFonts w:eastAsia="Calibri" w:cs="Arial"/>
        </w:rPr>
      </w:pPr>
      <w:r>
        <w:rPr>
          <w:rFonts w:eastAsia="Calibri" w:cs="Arial"/>
        </w:rPr>
        <w:t>We are required to deliver against a set of outcome measures as part of the term of the grant agreement. They are accepted to be difficult to capture - both because some of them are too long-term to capture in a year-long assessment and also because some o</w:t>
      </w:r>
      <w:r>
        <w:rPr>
          <w:rFonts w:eastAsia="Calibri" w:cs="Arial"/>
        </w:rPr>
        <w:t xml:space="preserve">f the outcomes have many more underlying drivers than the PAS programme. </w:t>
      </w:r>
    </w:p>
    <w:p w:rsidR="00C55AA0" w:rsidRDefault="00C55AA0">
      <w:pPr>
        <w:pStyle w:val="ListParagraph"/>
        <w:numPr>
          <w:ilvl w:val="0"/>
          <w:numId w:val="0"/>
        </w:numPr>
        <w:rPr>
          <w:rFonts w:eastAsia="Calibri" w:cs="Arial"/>
        </w:rPr>
      </w:pPr>
    </w:p>
    <w:p w:rsidR="00C55AA0" w:rsidRDefault="00C55AA0">
      <w:pPr>
        <w:spacing w:line="259" w:lineRule="auto"/>
        <w:rPr>
          <w:rStyle w:val="Style6"/>
        </w:rPr>
      </w:pPr>
    </w:p>
    <w:tbl>
      <w:tblPr>
        <w:tblStyle w:val="TableGrid"/>
        <w:tblW w:w="9242" w:type="dxa"/>
        <w:tblLayout w:type="fixed"/>
        <w:tblLook w:val="04A0" w:firstRow="1" w:lastRow="0" w:firstColumn="1" w:lastColumn="0" w:noHBand="0" w:noVBand="1"/>
      </w:tblPr>
      <w:tblGrid>
        <w:gridCol w:w="3080"/>
        <w:gridCol w:w="3081"/>
        <w:gridCol w:w="3081"/>
      </w:tblGrid>
      <w:tr w:rsidR="00C55AA0">
        <w:tc>
          <w:tcPr>
            <w:tcW w:w="3080" w:type="dxa"/>
            <w:shd w:val="clear" w:color="auto" w:fill="auto"/>
          </w:tcPr>
          <w:p w:rsidR="00C55AA0" w:rsidRDefault="00421881">
            <w:pPr>
              <w:spacing w:line="259" w:lineRule="auto"/>
              <w:rPr>
                <w:rStyle w:val="Style6"/>
              </w:rPr>
            </w:pPr>
            <w:r>
              <w:rPr>
                <w:rStyle w:val="Style6"/>
              </w:rPr>
              <w:t>Improving policy-making and infrastructure provision</w:t>
            </w:r>
          </w:p>
        </w:tc>
        <w:tc>
          <w:tcPr>
            <w:tcW w:w="3081" w:type="dxa"/>
            <w:shd w:val="clear" w:color="auto" w:fill="auto"/>
          </w:tcPr>
          <w:p w:rsidR="00C55AA0" w:rsidRDefault="00421881">
            <w:pPr>
              <w:spacing w:line="259" w:lineRule="auto"/>
              <w:rPr>
                <w:rStyle w:val="Style6"/>
              </w:rPr>
            </w:pPr>
            <w:r>
              <w:rPr>
                <w:rStyle w:val="Style6"/>
              </w:rPr>
              <w:t>The number of authorities within the target groups that producing ‘sound’ plans is increased.</w:t>
            </w:r>
          </w:p>
          <w:p w:rsidR="00C55AA0" w:rsidRDefault="00421881">
            <w:pPr>
              <w:spacing w:line="259" w:lineRule="auto"/>
              <w:rPr>
                <w:rStyle w:val="Style6"/>
              </w:rPr>
            </w:pPr>
            <w:r>
              <w:rPr>
                <w:rStyle w:val="Style6"/>
              </w:rPr>
              <w:t xml:space="preserve">The number of authorities within </w:t>
            </w:r>
            <w:r>
              <w:rPr>
                <w:rStyle w:val="Style6"/>
              </w:rPr>
              <w:t>the target groups without an up to date plan decreases.</w:t>
            </w:r>
          </w:p>
        </w:tc>
        <w:tc>
          <w:tcPr>
            <w:tcW w:w="3081" w:type="dxa"/>
            <w:shd w:val="clear" w:color="auto" w:fill="auto"/>
          </w:tcPr>
          <w:p w:rsidR="00C55AA0" w:rsidRDefault="00C55AA0">
            <w:pPr>
              <w:spacing w:line="259" w:lineRule="auto"/>
              <w:rPr>
                <w:rStyle w:val="Style6"/>
              </w:rPr>
            </w:pPr>
          </w:p>
          <w:p w:rsidR="00C55AA0" w:rsidRDefault="00421881">
            <w:pPr>
              <w:spacing w:line="259" w:lineRule="auto"/>
              <w:rPr>
                <w:rStyle w:val="Style6"/>
              </w:rPr>
            </w:pPr>
            <w:r>
              <w:rPr>
                <w:rStyle w:val="Style6"/>
              </w:rPr>
              <w:t xml:space="preserve">This measure has not been tracked. The NPPF change to 5 years had a massive impact on plans </w:t>
            </w:r>
            <w:r>
              <w:rPr>
                <w:rStyle w:val="Style6"/>
              </w:rPr>
              <w:t>“up to date”</w:t>
            </w:r>
            <w:r>
              <w:rPr>
                <w:rStyle w:val="Style6"/>
              </w:rPr>
              <w:t xml:space="preserve"> </w:t>
            </w:r>
          </w:p>
        </w:tc>
      </w:tr>
      <w:tr w:rsidR="00C55AA0">
        <w:tc>
          <w:tcPr>
            <w:tcW w:w="3080" w:type="dxa"/>
            <w:shd w:val="clear" w:color="auto" w:fill="FFC000"/>
          </w:tcPr>
          <w:p w:rsidR="00C55AA0" w:rsidRDefault="00421881">
            <w:pPr>
              <w:spacing w:line="259" w:lineRule="auto"/>
              <w:rPr>
                <w:rStyle w:val="Style6"/>
              </w:rPr>
            </w:pPr>
            <w:r>
              <w:rPr>
                <w:rStyle w:val="Style6"/>
              </w:rPr>
              <w:t>Improving decision-making and delivery</w:t>
            </w:r>
          </w:p>
        </w:tc>
        <w:tc>
          <w:tcPr>
            <w:tcW w:w="3081" w:type="dxa"/>
            <w:shd w:val="clear" w:color="auto" w:fill="FFC000"/>
          </w:tcPr>
          <w:p w:rsidR="00C55AA0" w:rsidRDefault="00421881">
            <w:pPr>
              <w:spacing w:line="259" w:lineRule="auto"/>
              <w:rPr>
                <w:rStyle w:val="Style6"/>
              </w:rPr>
            </w:pPr>
            <w:r>
              <w:rPr>
                <w:rStyle w:val="Style6"/>
              </w:rPr>
              <w:t>All councils are clear what an action plan should con</w:t>
            </w:r>
            <w:r>
              <w:rPr>
                <w:rStyle w:val="Style6"/>
              </w:rPr>
              <w:t>tain</w:t>
            </w:r>
          </w:p>
          <w:p w:rsidR="00C55AA0" w:rsidRDefault="00421881">
            <w:pPr>
              <w:spacing w:line="259" w:lineRule="auto"/>
              <w:rPr>
                <w:rStyle w:val="Style6"/>
              </w:rPr>
            </w:pPr>
            <w:r>
              <w:rPr>
                <w:rStyle w:val="Style6"/>
              </w:rPr>
              <w:t>Good coverage of HDTAPs</w:t>
            </w:r>
          </w:p>
          <w:p w:rsidR="00C55AA0" w:rsidRDefault="00421881">
            <w:pPr>
              <w:spacing w:line="259" w:lineRule="auto"/>
              <w:rPr>
                <w:rStyle w:val="Style6"/>
              </w:rPr>
            </w:pPr>
            <w:r>
              <w:rPr>
                <w:rStyle w:val="Style6"/>
              </w:rPr>
              <w:t>DM performance improves</w:t>
            </w:r>
          </w:p>
          <w:p w:rsidR="00C55AA0" w:rsidRDefault="00421881">
            <w:pPr>
              <w:spacing w:line="259" w:lineRule="auto"/>
              <w:rPr>
                <w:rStyle w:val="Style6"/>
              </w:rPr>
            </w:pPr>
            <w:r>
              <w:rPr>
                <w:rStyle w:val="Style6"/>
              </w:rPr>
              <w:t>Shale training</w:t>
            </w:r>
          </w:p>
        </w:tc>
        <w:tc>
          <w:tcPr>
            <w:tcW w:w="3081" w:type="dxa"/>
            <w:shd w:val="clear" w:color="auto" w:fill="FFC000"/>
          </w:tcPr>
          <w:p w:rsidR="00C55AA0" w:rsidRDefault="00421881">
            <w:pPr>
              <w:spacing w:line="259" w:lineRule="auto"/>
              <w:rPr>
                <w:rStyle w:val="Style6"/>
              </w:rPr>
            </w:pPr>
            <w:r>
              <w:rPr>
                <w:rStyle w:val="Style6"/>
              </w:rPr>
              <w:t xml:space="preserve">Action plan pilots and guide produced. </w:t>
            </w:r>
          </w:p>
          <w:p w:rsidR="00C55AA0" w:rsidRDefault="00421881">
            <w:pPr>
              <w:spacing w:line="259" w:lineRule="auto"/>
              <w:rPr>
                <w:rStyle w:val="Style6"/>
              </w:rPr>
            </w:pPr>
            <w:r>
              <w:rPr>
                <w:rStyle w:val="Style6"/>
              </w:rPr>
              <w:t>HDTAPs not due until August</w:t>
            </w:r>
          </w:p>
          <w:p w:rsidR="00C55AA0" w:rsidRDefault="00421881">
            <w:pPr>
              <w:spacing w:line="259" w:lineRule="auto"/>
              <w:rPr>
                <w:rStyle w:val="Style6"/>
              </w:rPr>
            </w:pPr>
            <w:r>
              <w:rPr>
                <w:rStyle w:val="Style6"/>
              </w:rPr>
              <w:t>DM performance evaluated: 100% say support helped improve performance</w:t>
            </w:r>
          </w:p>
          <w:p w:rsidR="00C55AA0" w:rsidRDefault="00421881">
            <w:pPr>
              <w:spacing w:line="259" w:lineRule="auto"/>
              <w:rPr>
                <w:rStyle w:val="Style6"/>
              </w:rPr>
            </w:pPr>
            <w:r>
              <w:rPr>
                <w:rStyle w:val="Style6"/>
              </w:rPr>
              <w:t>Shale 100% of members say improved</w:t>
            </w:r>
          </w:p>
        </w:tc>
      </w:tr>
      <w:tr w:rsidR="00C55AA0">
        <w:tc>
          <w:tcPr>
            <w:tcW w:w="3080" w:type="dxa"/>
            <w:shd w:val="clear" w:color="auto" w:fill="00B050"/>
          </w:tcPr>
          <w:p w:rsidR="00C55AA0" w:rsidRDefault="00421881">
            <w:pPr>
              <w:spacing w:line="259" w:lineRule="auto"/>
              <w:rPr>
                <w:rStyle w:val="Style6"/>
              </w:rPr>
            </w:pPr>
            <w:r>
              <w:rPr>
                <w:rStyle w:val="Style6"/>
              </w:rPr>
              <w:t xml:space="preserve">Communication </w:t>
            </w:r>
            <w:r>
              <w:rPr>
                <w:rStyle w:val="Style6"/>
              </w:rPr>
              <w:t>update and reform</w:t>
            </w:r>
          </w:p>
        </w:tc>
        <w:tc>
          <w:tcPr>
            <w:tcW w:w="3081" w:type="dxa"/>
            <w:shd w:val="clear" w:color="auto" w:fill="00B050"/>
          </w:tcPr>
          <w:p w:rsidR="00C55AA0" w:rsidRDefault="00421881">
            <w:pPr>
              <w:spacing w:line="259" w:lineRule="auto"/>
              <w:rPr>
                <w:rStyle w:val="Style6"/>
              </w:rPr>
            </w:pPr>
            <w:r>
              <w:rPr>
                <w:rStyle w:val="Style6"/>
              </w:rPr>
              <w:t>At least 85% of attendees are confident about reform</w:t>
            </w:r>
          </w:p>
          <w:p w:rsidR="00C55AA0" w:rsidRDefault="00421881">
            <w:pPr>
              <w:spacing w:line="259" w:lineRule="auto"/>
              <w:rPr>
                <w:rStyle w:val="Style6"/>
              </w:rPr>
            </w:pPr>
            <w:r>
              <w:rPr>
                <w:rStyle w:val="Style6"/>
              </w:rPr>
              <w:t xml:space="preserve">At </w:t>
            </w:r>
            <w:proofErr w:type="spellStart"/>
            <w:r>
              <w:rPr>
                <w:rStyle w:val="Style6"/>
              </w:rPr>
              <w:t>leas</w:t>
            </w:r>
            <w:proofErr w:type="spellEnd"/>
            <w:r>
              <w:rPr>
                <w:rStyle w:val="Style6"/>
              </w:rPr>
              <w:t xml:space="preserve"> 85% agree that PAS helped them improve the monitoring of delivery pipeline</w:t>
            </w:r>
          </w:p>
        </w:tc>
        <w:tc>
          <w:tcPr>
            <w:tcW w:w="3081" w:type="dxa"/>
            <w:shd w:val="clear" w:color="auto" w:fill="00B050"/>
          </w:tcPr>
          <w:p w:rsidR="00C55AA0" w:rsidRDefault="00421881">
            <w:pPr>
              <w:spacing w:line="259" w:lineRule="auto"/>
              <w:rPr>
                <w:rStyle w:val="Style6"/>
              </w:rPr>
            </w:pPr>
            <w:r>
              <w:rPr>
                <w:rStyle w:val="Style6"/>
              </w:rPr>
              <w:t>97.5% of delegates said they were more confident</w:t>
            </w:r>
          </w:p>
          <w:p w:rsidR="00C55AA0" w:rsidRDefault="00421881">
            <w:pPr>
              <w:spacing w:line="259" w:lineRule="auto"/>
              <w:ind w:left="0" w:firstLine="0"/>
              <w:rPr>
                <w:rStyle w:val="Style6"/>
              </w:rPr>
            </w:pPr>
            <w:r>
              <w:rPr>
                <w:rStyle w:val="Style6"/>
              </w:rPr>
              <w:t>90% of delegates said monitoring improved</w:t>
            </w:r>
          </w:p>
        </w:tc>
      </w:tr>
    </w:tbl>
    <w:p w:rsidR="00C55AA0" w:rsidRDefault="00C55AA0">
      <w:pPr>
        <w:spacing w:line="259" w:lineRule="auto"/>
        <w:rPr>
          <w:rStyle w:val="Style6"/>
        </w:rPr>
      </w:pPr>
    </w:p>
    <w:p w:rsidR="00C55AA0" w:rsidRDefault="00C55AA0">
      <w:pPr>
        <w:spacing w:line="259" w:lineRule="auto"/>
        <w:rPr>
          <w:rStyle w:val="Style6"/>
        </w:rPr>
      </w:pPr>
    </w:p>
    <w:p w:rsidR="00C55AA0" w:rsidRDefault="00C55AA0">
      <w:pPr>
        <w:spacing w:line="259" w:lineRule="auto"/>
        <w:rPr>
          <w:rStyle w:val="Style6"/>
        </w:rPr>
      </w:pPr>
    </w:p>
    <w:p w:rsidR="00C55AA0" w:rsidRPr="00421881" w:rsidRDefault="00421881" w:rsidP="00421881">
      <w:pPr>
        <w:spacing w:line="259" w:lineRule="auto"/>
        <w:rPr>
          <w:b/>
        </w:rPr>
      </w:pPr>
      <w:r>
        <w:rPr>
          <w:rStyle w:val="Style6"/>
        </w:rPr>
        <w:br w:type="page"/>
      </w:r>
      <w:r>
        <w:rPr>
          <w:rStyle w:val="Style6"/>
        </w:rPr>
        <w:lastRenderedPageBreak/>
        <w:t>Programme for 2019-20</w:t>
      </w:r>
    </w:p>
    <w:p w:rsidR="00C55AA0" w:rsidRDefault="00421881">
      <w:pPr>
        <w:pStyle w:val="ListParagraph"/>
        <w:rPr>
          <w:rStyle w:val="ReportTemplate"/>
        </w:rPr>
      </w:pPr>
      <w:r>
        <w:rPr>
          <w:rStyle w:val="ReportTemplate"/>
        </w:rPr>
        <w:t xml:space="preserve">We have an agreed high level programme of work signed for 2019-20 which is largely a continuation of 2018-19. However there is less focus on events showcasing reform and providing updates and more on helping councils respond to the policies.  </w:t>
      </w:r>
    </w:p>
    <w:p w:rsidR="00C55AA0" w:rsidRDefault="00C55AA0">
      <w:pPr>
        <w:pStyle w:val="ListParagraph"/>
        <w:numPr>
          <w:ilvl w:val="0"/>
          <w:numId w:val="0"/>
        </w:numPr>
        <w:rPr>
          <w:rStyle w:val="ReportTemplate"/>
        </w:rPr>
      </w:pPr>
    </w:p>
    <w:p w:rsidR="00C55AA0" w:rsidRDefault="00C55AA0">
      <w:pPr>
        <w:pStyle w:val="ListParagraph"/>
        <w:numPr>
          <w:ilvl w:val="0"/>
          <w:numId w:val="0"/>
        </w:numPr>
        <w:rPr>
          <w:rStyle w:val="ReportTemplate"/>
        </w:rPr>
      </w:pPr>
    </w:p>
    <w:p w:rsidR="00C55AA0" w:rsidRDefault="00421881">
      <w:pPr>
        <w:pStyle w:val="ListParagraph"/>
        <w:numPr>
          <w:ilvl w:val="0"/>
          <w:numId w:val="0"/>
        </w:numPr>
        <w:rPr>
          <w:rStyle w:val="ReportTemplate"/>
        </w:rPr>
      </w:pPr>
      <w:r>
        <w:rPr>
          <w:noProof/>
          <w:lang w:eastAsia="en-GB"/>
        </w:rPr>
        <w:drawing>
          <wp:inline distT="0" distB="0" distL="114300" distR="114300">
            <wp:extent cx="5419725" cy="41529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0"/>
                    <a:stretch>
                      <a:fillRect/>
                    </a:stretch>
                  </pic:blipFill>
                  <pic:spPr>
                    <a:xfrm>
                      <a:off x="0" y="0"/>
                      <a:ext cx="5419725" cy="4152900"/>
                    </a:xfrm>
                    <a:prstGeom prst="rect">
                      <a:avLst/>
                    </a:prstGeom>
                    <a:noFill/>
                    <a:ln w="9525">
                      <a:noFill/>
                    </a:ln>
                  </pic:spPr>
                </pic:pic>
              </a:graphicData>
            </a:graphic>
          </wp:inline>
        </w:drawing>
      </w:r>
    </w:p>
    <w:p w:rsidR="00C55AA0" w:rsidRDefault="00C55AA0">
      <w:pPr>
        <w:pStyle w:val="ListParagraph"/>
        <w:numPr>
          <w:ilvl w:val="0"/>
          <w:numId w:val="0"/>
        </w:numPr>
        <w:rPr>
          <w:rStyle w:val="ReportTemplate"/>
        </w:rPr>
      </w:pPr>
    </w:p>
    <w:p w:rsidR="00C55AA0" w:rsidRDefault="00C55AA0">
      <w:pPr>
        <w:pStyle w:val="ListParagraph"/>
        <w:numPr>
          <w:ilvl w:val="0"/>
          <w:numId w:val="0"/>
        </w:numPr>
        <w:rPr>
          <w:rStyle w:val="ReportTemplate"/>
        </w:rPr>
      </w:pPr>
    </w:p>
    <w:p w:rsidR="00C55AA0" w:rsidRDefault="00421881">
      <w:pPr>
        <w:pStyle w:val="ListParagraph"/>
        <w:rPr>
          <w:rStyle w:val="ReportTemplate"/>
        </w:rPr>
      </w:pPr>
      <w:r>
        <w:rPr>
          <w:rStyle w:val="ReportTemplate"/>
        </w:rPr>
        <w:t>To act</w:t>
      </w:r>
      <w:r>
        <w:rPr>
          <w:rStyle w:val="ReportTemplate"/>
        </w:rPr>
        <w:t xml:space="preserve"> against optimism bias we </w:t>
      </w:r>
      <w:proofErr w:type="spellStart"/>
      <w:r>
        <w:rPr>
          <w:rStyle w:val="ReportTemplate"/>
        </w:rPr>
        <w:t>overprogramme</w:t>
      </w:r>
      <w:proofErr w:type="spellEnd"/>
      <w:r>
        <w:rPr>
          <w:rStyle w:val="ReportTemplate"/>
        </w:rPr>
        <w:t xml:space="preserve"> slightly which is why the programme adds up to more than £1m. </w:t>
      </w:r>
    </w:p>
    <w:p w:rsidR="00C55AA0" w:rsidRDefault="00C55AA0">
      <w:pPr>
        <w:pStyle w:val="ListParagraph"/>
        <w:numPr>
          <w:ilvl w:val="0"/>
          <w:numId w:val="0"/>
        </w:numPr>
        <w:rPr>
          <w:rStyle w:val="ReportTemplate"/>
        </w:rPr>
      </w:pPr>
    </w:p>
    <w:p w:rsidR="00C55AA0" w:rsidRDefault="00421881">
      <w:pPr>
        <w:pStyle w:val="ListParagraph"/>
        <w:rPr>
          <w:rStyle w:val="ReportTemplate"/>
        </w:rPr>
      </w:pPr>
      <w:r>
        <w:rPr>
          <w:rStyle w:val="ReportTemplate"/>
        </w:rPr>
        <w:t xml:space="preserve">In addition to the core grant we will continue to provide commercial services where appropriate and deliver the one-off strategic planning grant work.  </w:t>
      </w:r>
    </w:p>
    <w:p w:rsidR="00C55AA0" w:rsidRDefault="00C55AA0">
      <w:pPr>
        <w:pStyle w:val="ListParagraph"/>
        <w:numPr>
          <w:ilvl w:val="0"/>
          <w:numId w:val="0"/>
        </w:numPr>
        <w:rPr>
          <w:rStyle w:val="ReportTemplate"/>
        </w:rPr>
      </w:pPr>
    </w:p>
    <w:p w:rsidR="00C55AA0" w:rsidRDefault="00C55AA0">
      <w:pPr>
        <w:pStyle w:val="ListParagraph"/>
        <w:numPr>
          <w:ilvl w:val="0"/>
          <w:numId w:val="0"/>
        </w:numPr>
        <w:rPr>
          <w:rStyle w:val="ReportTemplate"/>
        </w:rPr>
      </w:pPr>
    </w:p>
    <w:p w:rsidR="00C55AA0" w:rsidRDefault="00421881">
      <w:pPr>
        <w:ind w:left="0" w:firstLine="0"/>
        <w:rPr>
          <w:rStyle w:val="Style6"/>
        </w:rPr>
      </w:pPr>
      <w:r>
        <w:rPr>
          <w:rStyle w:val="Style6"/>
        </w:rPr>
        <w:br w:type="page"/>
      </w:r>
    </w:p>
    <w:p w:rsidR="00C55AA0" w:rsidRDefault="00421881">
      <w:pPr>
        <w:ind w:left="0" w:firstLine="0"/>
        <w:rPr>
          <w:rStyle w:val="ReportTemplate"/>
        </w:rPr>
      </w:pPr>
      <w:r>
        <w:rPr>
          <w:rStyle w:val="Style6"/>
        </w:rPr>
        <w:lastRenderedPageBreak/>
        <w:t>Outlook</w:t>
      </w:r>
    </w:p>
    <w:p w:rsidR="00C55AA0" w:rsidRDefault="00C55AA0">
      <w:pPr>
        <w:pStyle w:val="ListParagraph"/>
        <w:numPr>
          <w:ilvl w:val="0"/>
          <w:numId w:val="0"/>
        </w:numPr>
        <w:rPr>
          <w:rStyle w:val="Title2"/>
          <w:b w:val="0"/>
          <w:sz w:val="22"/>
        </w:rPr>
      </w:pPr>
    </w:p>
    <w:p w:rsidR="00C55AA0" w:rsidRPr="00421881" w:rsidRDefault="00421881">
      <w:pPr>
        <w:pStyle w:val="ListParagraph"/>
        <w:numPr>
          <w:ilvl w:val="0"/>
          <w:numId w:val="0"/>
        </w:numPr>
        <w:rPr>
          <w:rStyle w:val="Title2"/>
          <w:b w:val="0"/>
          <w:iCs/>
          <w:sz w:val="22"/>
          <w:u w:val="single"/>
        </w:rPr>
      </w:pPr>
      <w:r w:rsidRPr="00421881">
        <w:rPr>
          <w:rStyle w:val="Title2"/>
          <w:b w:val="0"/>
          <w:iCs/>
          <w:sz w:val="22"/>
          <w:u w:val="single"/>
        </w:rPr>
        <w:t>In the short term</w:t>
      </w:r>
    </w:p>
    <w:p w:rsidR="00C55AA0" w:rsidRDefault="00C55AA0">
      <w:pPr>
        <w:pStyle w:val="ListParagraph"/>
        <w:numPr>
          <w:ilvl w:val="0"/>
          <w:numId w:val="0"/>
        </w:numPr>
        <w:rPr>
          <w:rStyle w:val="Title2"/>
          <w:b w:val="0"/>
          <w:sz w:val="22"/>
        </w:rPr>
      </w:pPr>
    </w:p>
    <w:p w:rsidR="00C55AA0" w:rsidRDefault="00421881">
      <w:pPr>
        <w:pStyle w:val="ListParagraph"/>
        <w:rPr>
          <w:rStyle w:val="Title2"/>
          <w:b w:val="0"/>
          <w:sz w:val="22"/>
        </w:rPr>
      </w:pPr>
      <w:r>
        <w:rPr>
          <w:rStyle w:val="Title2"/>
          <w:b w:val="0"/>
          <w:sz w:val="22"/>
        </w:rPr>
        <w:t>Other ideas and pieces of work we are considering at present, based on conversations with practitioners and colleagues in the LGA include:</w:t>
      </w:r>
    </w:p>
    <w:p w:rsidR="00C55AA0" w:rsidRDefault="00C55AA0">
      <w:pPr>
        <w:pStyle w:val="ListParagraph"/>
        <w:numPr>
          <w:ilvl w:val="0"/>
          <w:numId w:val="0"/>
        </w:numPr>
        <w:rPr>
          <w:rStyle w:val="Title2"/>
          <w:b w:val="0"/>
          <w:sz w:val="22"/>
        </w:rPr>
      </w:pPr>
    </w:p>
    <w:p w:rsidR="00C55AA0" w:rsidRDefault="00421881" w:rsidP="00421881">
      <w:pPr>
        <w:pStyle w:val="ListParagraph"/>
        <w:numPr>
          <w:ilvl w:val="1"/>
          <w:numId w:val="1"/>
        </w:numPr>
        <w:ind w:left="851" w:hanging="491"/>
        <w:rPr>
          <w:rStyle w:val="Title2"/>
          <w:b w:val="0"/>
          <w:sz w:val="22"/>
        </w:rPr>
      </w:pPr>
      <w:r>
        <w:rPr>
          <w:rStyle w:val="Title2"/>
          <w:b w:val="0"/>
          <w:sz w:val="22"/>
        </w:rPr>
        <w:t>An update to our 5 year land supply guide, factoring in recent changes to the defin</w:t>
      </w:r>
      <w:r>
        <w:rPr>
          <w:rStyle w:val="Title2"/>
          <w:b w:val="0"/>
          <w:sz w:val="22"/>
        </w:rPr>
        <w:t xml:space="preserve">ition of </w:t>
      </w:r>
      <w:r>
        <w:rPr>
          <w:rStyle w:val="Title2"/>
          <w:b w:val="0"/>
          <w:sz w:val="22"/>
        </w:rPr>
        <w:t>“deliverable” as well as the new standard method of calculating local housing need.</w:t>
      </w:r>
    </w:p>
    <w:p w:rsidR="00421881" w:rsidRDefault="00421881" w:rsidP="00421881">
      <w:pPr>
        <w:pStyle w:val="ListParagraph"/>
        <w:numPr>
          <w:ilvl w:val="0"/>
          <w:numId w:val="0"/>
        </w:numPr>
        <w:ind w:left="851"/>
        <w:rPr>
          <w:rStyle w:val="Title2"/>
          <w:b w:val="0"/>
          <w:sz w:val="22"/>
        </w:rPr>
      </w:pPr>
    </w:p>
    <w:p w:rsidR="00C55AA0" w:rsidRDefault="00421881" w:rsidP="00421881">
      <w:pPr>
        <w:pStyle w:val="ListParagraph"/>
        <w:numPr>
          <w:ilvl w:val="1"/>
          <w:numId w:val="1"/>
        </w:numPr>
        <w:ind w:left="851" w:hanging="491"/>
        <w:rPr>
          <w:rStyle w:val="Title2"/>
          <w:b w:val="0"/>
          <w:sz w:val="22"/>
        </w:rPr>
      </w:pPr>
      <w:r>
        <w:rPr>
          <w:rStyle w:val="Title2"/>
          <w:b w:val="0"/>
          <w:sz w:val="22"/>
        </w:rPr>
        <w:t>Helping support a “back to planning” project run along similar lines to a very successful “back to social work” scheme</w:t>
      </w:r>
    </w:p>
    <w:p w:rsidR="00C55AA0" w:rsidRDefault="00C55AA0">
      <w:pPr>
        <w:pStyle w:val="ListParagraph"/>
        <w:numPr>
          <w:ilvl w:val="0"/>
          <w:numId w:val="0"/>
        </w:numPr>
        <w:rPr>
          <w:rStyle w:val="Title2"/>
          <w:b w:val="0"/>
          <w:i/>
          <w:iCs/>
          <w:sz w:val="22"/>
        </w:rPr>
      </w:pPr>
    </w:p>
    <w:p w:rsidR="00C55AA0" w:rsidRPr="00421881" w:rsidRDefault="00421881">
      <w:pPr>
        <w:pStyle w:val="ListParagraph"/>
        <w:numPr>
          <w:ilvl w:val="0"/>
          <w:numId w:val="0"/>
        </w:numPr>
        <w:rPr>
          <w:rStyle w:val="Title2"/>
          <w:b w:val="0"/>
          <w:iCs/>
          <w:sz w:val="22"/>
          <w:u w:val="single"/>
        </w:rPr>
      </w:pPr>
      <w:r w:rsidRPr="00421881">
        <w:rPr>
          <w:rStyle w:val="Title2"/>
          <w:b w:val="0"/>
          <w:iCs/>
          <w:sz w:val="22"/>
          <w:u w:val="single"/>
        </w:rPr>
        <w:t>In the longer term</w:t>
      </w:r>
    </w:p>
    <w:p w:rsidR="00C55AA0" w:rsidRDefault="00C55AA0">
      <w:pPr>
        <w:pStyle w:val="ListParagraph"/>
        <w:numPr>
          <w:ilvl w:val="0"/>
          <w:numId w:val="0"/>
        </w:numPr>
        <w:rPr>
          <w:rStyle w:val="Title2"/>
          <w:b w:val="0"/>
          <w:i/>
          <w:iCs/>
          <w:sz w:val="22"/>
        </w:rPr>
      </w:pPr>
    </w:p>
    <w:p w:rsidR="00C55AA0" w:rsidRDefault="00421881">
      <w:pPr>
        <w:pStyle w:val="ListParagraph"/>
        <w:rPr>
          <w:rStyle w:val="Title2"/>
          <w:b w:val="0"/>
          <w:sz w:val="22"/>
        </w:rPr>
      </w:pPr>
      <w:r>
        <w:rPr>
          <w:rStyle w:val="Title2"/>
          <w:b w:val="0"/>
          <w:sz w:val="22"/>
        </w:rPr>
        <w:t>For the majority of the</w:t>
      </w:r>
      <w:r>
        <w:rPr>
          <w:rStyle w:val="Title2"/>
          <w:b w:val="0"/>
          <w:sz w:val="22"/>
        </w:rPr>
        <w:t xml:space="preserve"> last few years PAS has been a programme renewed on an annual basis. This promotes a responsive and flexible attitude, but makes it difficult to think, act and recruit in the longer term. </w:t>
      </w:r>
    </w:p>
    <w:p w:rsidR="00C55AA0" w:rsidRDefault="00C55AA0">
      <w:pPr>
        <w:pStyle w:val="ListParagraph"/>
        <w:numPr>
          <w:ilvl w:val="0"/>
          <w:numId w:val="0"/>
        </w:numPr>
        <w:rPr>
          <w:rStyle w:val="Title2"/>
          <w:b w:val="0"/>
          <w:sz w:val="22"/>
        </w:rPr>
      </w:pPr>
    </w:p>
    <w:p w:rsidR="00C55AA0" w:rsidRDefault="00421881">
      <w:pPr>
        <w:pStyle w:val="ListParagraph"/>
        <w:rPr>
          <w:rStyle w:val="Title2"/>
          <w:b w:val="0"/>
          <w:sz w:val="22"/>
        </w:rPr>
      </w:pPr>
      <w:r>
        <w:rPr>
          <w:rStyle w:val="Title2"/>
          <w:b w:val="0"/>
          <w:sz w:val="22"/>
        </w:rPr>
        <w:t>MHCLG are aware of the issue, and especially of the difficulty att</w:t>
      </w:r>
      <w:r>
        <w:rPr>
          <w:rStyle w:val="Title2"/>
          <w:b w:val="0"/>
          <w:sz w:val="22"/>
        </w:rPr>
        <w:t xml:space="preserve">racting and retaining staff in such an unsettled environment. During 2019-20 they propose carrying out a review of the PAS programme with the intention of setting up a multi-year settlement. </w:t>
      </w:r>
    </w:p>
    <w:p w:rsidR="00C55AA0" w:rsidRDefault="00C55AA0">
      <w:pPr>
        <w:pStyle w:val="ListParagraph"/>
        <w:numPr>
          <w:ilvl w:val="0"/>
          <w:numId w:val="0"/>
        </w:numPr>
        <w:rPr>
          <w:rStyle w:val="Title2"/>
          <w:b w:val="0"/>
          <w:sz w:val="22"/>
        </w:rPr>
      </w:pPr>
    </w:p>
    <w:p w:rsidR="00C55AA0" w:rsidRDefault="00421881">
      <w:pPr>
        <w:pStyle w:val="ListParagraph"/>
        <w:rPr>
          <w:rStyle w:val="Title2"/>
          <w:b w:val="0"/>
          <w:sz w:val="22"/>
        </w:rPr>
      </w:pPr>
      <w:r>
        <w:rPr>
          <w:rStyle w:val="Title2"/>
          <w:b w:val="0"/>
          <w:sz w:val="22"/>
        </w:rPr>
        <w:t xml:space="preserve">It is not clear whether this review will lead to a longer-term </w:t>
      </w:r>
      <w:r>
        <w:rPr>
          <w:rStyle w:val="Title2"/>
          <w:b w:val="0"/>
          <w:sz w:val="22"/>
        </w:rPr>
        <w:t>outlook for a broadly similar programme or something more fundamental. It is possible that PAS could be reconfigured to help deliver the objectives of the Planning Green Paper.</w:t>
      </w:r>
    </w:p>
    <w:p w:rsidR="00C55AA0" w:rsidRDefault="00C55AA0">
      <w:pPr>
        <w:ind w:left="0" w:firstLine="0"/>
        <w:rPr>
          <w:rStyle w:val="Title2"/>
          <w:sz w:val="22"/>
        </w:rPr>
      </w:pPr>
    </w:p>
    <w:sectPr w:rsidR="00C55AA0">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21881">
      <w:pPr>
        <w:spacing w:after="0" w:line="240" w:lineRule="auto"/>
      </w:pPr>
      <w:r>
        <w:separator/>
      </w:r>
    </w:p>
  </w:endnote>
  <w:endnote w:type="continuationSeparator" w:id="0">
    <w:p w:rsidR="00000000" w:rsidRDefault="0042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21881">
      <w:pPr>
        <w:spacing w:after="0" w:line="240" w:lineRule="auto"/>
      </w:pPr>
      <w:r>
        <w:separator/>
      </w:r>
    </w:p>
  </w:footnote>
  <w:footnote w:type="continuationSeparator" w:id="0">
    <w:p w:rsidR="00000000" w:rsidRDefault="00421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AA0" w:rsidRDefault="00C55AA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4106"/>
    </w:tblGrid>
    <w:tr w:rsidR="00C55AA0">
      <w:trPr>
        <w:trHeight w:val="416"/>
      </w:trPr>
      <w:tc>
        <w:tcPr>
          <w:tcW w:w="5812" w:type="dxa"/>
          <w:vMerge w:val="restart"/>
        </w:tcPr>
        <w:p w:rsidR="00C55AA0" w:rsidRDefault="00421881">
          <w:pPr>
            <w:spacing w:after="0"/>
          </w:pPr>
          <w:r>
            <w:rPr>
              <w:noProof/>
              <w:lang w:eastAsia="en-GB"/>
            </w:rPr>
            <w:drawing>
              <wp:inline distT="0" distB="0" distL="0" distR="0">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rsidR="00421881" w:rsidRDefault="00421881" w:rsidP="00421881">
              <w:pPr>
                <w:ind w:left="0" w:firstLine="0"/>
                <w:rPr>
                  <w:b/>
                </w:rPr>
              </w:pPr>
              <w:r>
                <w:rPr>
                  <w:b/>
                </w:rPr>
                <w:t>Environment, Economy, Housing &amp; Transport Board</w:t>
              </w:r>
            </w:p>
            <w:p w:rsidR="00C55AA0" w:rsidRDefault="00C55AA0">
              <w:pPr>
                <w:spacing w:after="0"/>
              </w:pPr>
            </w:p>
          </w:tc>
        </w:sdtContent>
      </w:sdt>
    </w:tr>
    <w:tr w:rsidR="00C55AA0">
      <w:trPr>
        <w:trHeight w:val="406"/>
      </w:trPr>
      <w:tc>
        <w:tcPr>
          <w:tcW w:w="5812" w:type="dxa"/>
          <w:vMerge/>
        </w:tcPr>
        <w:p w:rsidR="00C55AA0" w:rsidRDefault="00C55AA0">
          <w:pPr>
            <w:spacing w:after="0"/>
          </w:pPr>
        </w:p>
      </w:tc>
      <w:tc>
        <w:tcPr>
          <w:tcW w:w="4106" w:type="dxa"/>
        </w:tcPr>
        <w:sdt>
          <w:sdtPr>
            <w:alias w:val="Date"/>
            <w:tag w:val="Date"/>
            <w:id w:val="-488943452"/>
            <w:placeholder>
              <w:docPart w:val="DC36D9B85A214F14AB68618A90760C36"/>
            </w:placeholder>
            <w:date w:fullDate="2019-05-14T00:00:00Z">
              <w:dateFormat w:val="dd MMMM yyyy"/>
              <w:lid w:val="en-GB"/>
              <w:storeMappedDataAs w:val="dateTime"/>
              <w:calendar w:val="gregorian"/>
            </w:date>
          </w:sdtPr>
          <w:sdtContent>
            <w:p w:rsidR="00C55AA0" w:rsidRDefault="00421881">
              <w:pPr>
                <w:spacing w:after="0"/>
              </w:pPr>
              <w:r>
                <w:t>14 May 2019</w:t>
              </w:r>
            </w:p>
          </w:sdtContent>
        </w:sdt>
      </w:tc>
    </w:tr>
    <w:tr w:rsidR="00C55AA0">
      <w:trPr>
        <w:trHeight w:val="89"/>
      </w:trPr>
      <w:tc>
        <w:tcPr>
          <w:tcW w:w="5812" w:type="dxa"/>
          <w:vMerge/>
        </w:tcPr>
        <w:p w:rsidR="00C55AA0" w:rsidRDefault="00C55AA0">
          <w:pPr>
            <w:spacing w:after="0"/>
          </w:pPr>
        </w:p>
      </w:tc>
      <w:tc>
        <w:tcPr>
          <w:tcW w:w="4106" w:type="dxa"/>
        </w:tcPr>
        <w:sdt>
          <w:sdtPr>
            <w:alias w:val="Item no."/>
            <w:tag w:val="Item no."/>
            <w:id w:val="-624237752"/>
            <w:placeholder>
              <w:docPart w:val="E82C81CF1FFA4ABEBE434B5B73B7C3E5"/>
            </w:placeholder>
          </w:sdtPr>
          <w:sdtEndPr/>
          <w:sdtContent>
            <w:p w:rsidR="00C55AA0" w:rsidRDefault="00421881" w:rsidP="00421881">
              <w:pPr>
                <w:spacing w:after="0"/>
              </w:pPr>
              <w:r>
                <w:t xml:space="preserve">  </w:t>
              </w:r>
            </w:p>
          </w:sdtContent>
        </w:sdt>
      </w:tc>
    </w:tr>
  </w:tbl>
  <w:p w:rsidR="00C55AA0" w:rsidRDefault="00C55A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3772B"/>
    <w:multiLevelType w:val="multilevel"/>
    <w:tmpl w:val="2393772B"/>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E6C13"/>
    <w:rsid w:val="000F1F72"/>
    <w:rsid w:val="000F69FB"/>
    <w:rsid w:val="000F7BF3"/>
    <w:rsid w:val="0013223B"/>
    <w:rsid w:val="001370AF"/>
    <w:rsid w:val="00165D26"/>
    <w:rsid w:val="00165DB8"/>
    <w:rsid w:val="00172DFF"/>
    <w:rsid w:val="001B36CE"/>
    <w:rsid w:val="001F6CF8"/>
    <w:rsid w:val="00207D23"/>
    <w:rsid w:val="00214AB7"/>
    <w:rsid w:val="00217D0A"/>
    <w:rsid w:val="00220E9B"/>
    <w:rsid w:val="002539E9"/>
    <w:rsid w:val="00262C82"/>
    <w:rsid w:val="002A5456"/>
    <w:rsid w:val="002B49CA"/>
    <w:rsid w:val="002B5A63"/>
    <w:rsid w:val="002C1A1E"/>
    <w:rsid w:val="002C2F3C"/>
    <w:rsid w:val="002F17A7"/>
    <w:rsid w:val="00301A51"/>
    <w:rsid w:val="00363A71"/>
    <w:rsid w:val="00421881"/>
    <w:rsid w:val="004716BD"/>
    <w:rsid w:val="00493D44"/>
    <w:rsid w:val="004C58EF"/>
    <w:rsid w:val="004D6DAB"/>
    <w:rsid w:val="005D4D3F"/>
    <w:rsid w:val="005E0194"/>
    <w:rsid w:val="006160C6"/>
    <w:rsid w:val="00693DB7"/>
    <w:rsid w:val="006C1ABD"/>
    <w:rsid w:val="0070398F"/>
    <w:rsid w:val="00712C86"/>
    <w:rsid w:val="00713D29"/>
    <w:rsid w:val="00733322"/>
    <w:rsid w:val="007622BA"/>
    <w:rsid w:val="0078762A"/>
    <w:rsid w:val="00795C95"/>
    <w:rsid w:val="007D331D"/>
    <w:rsid w:val="007D6B07"/>
    <w:rsid w:val="0080661C"/>
    <w:rsid w:val="00822CBD"/>
    <w:rsid w:val="00862016"/>
    <w:rsid w:val="008744DF"/>
    <w:rsid w:val="00891AE9"/>
    <w:rsid w:val="008E1627"/>
    <w:rsid w:val="00961A78"/>
    <w:rsid w:val="00976575"/>
    <w:rsid w:val="009821C0"/>
    <w:rsid w:val="00991DF2"/>
    <w:rsid w:val="009B1AA8"/>
    <w:rsid w:val="009B6F95"/>
    <w:rsid w:val="00A41020"/>
    <w:rsid w:val="00A41AAF"/>
    <w:rsid w:val="00B2709A"/>
    <w:rsid w:val="00B753F3"/>
    <w:rsid w:val="00B84F31"/>
    <w:rsid w:val="00BE7810"/>
    <w:rsid w:val="00BF4609"/>
    <w:rsid w:val="00BF6AF7"/>
    <w:rsid w:val="00C154ED"/>
    <w:rsid w:val="00C55AA0"/>
    <w:rsid w:val="00C803F3"/>
    <w:rsid w:val="00D24711"/>
    <w:rsid w:val="00D45B4D"/>
    <w:rsid w:val="00DA7394"/>
    <w:rsid w:val="00DB68FB"/>
    <w:rsid w:val="00DF172A"/>
    <w:rsid w:val="00E47FD6"/>
    <w:rsid w:val="00E8437C"/>
    <w:rsid w:val="00F05A17"/>
    <w:rsid w:val="00F46762"/>
    <w:rsid w:val="00F47637"/>
    <w:rsid w:val="00FA361F"/>
    <w:rsid w:val="00FB6434"/>
    <w:rsid w:val="00FC0D6A"/>
    <w:rsid w:val="00FC58A2"/>
    <w:rsid w:val="084C70D8"/>
    <w:rsid w:val="19A11452"/>
    <w:rsid w:val="522A6230"/>
    <w:rsid w:val="71A003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584CB8D8-6671-4071-901B-DE4EF16B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ind w:left="357" w:hanging="357"/>
    </w:pPr>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uiPriority w:val="99"/>
    <w:semiHidden/>
    <w:unhideWhenUsed/>
    <w:qFormat/>
    <w:rPr>
      <w:rFonts w:ascii="Times New Roman" w:hAnsi="Times New Roman" w:cs="Times New Roman"/>
      <w:sz w:val="24"/>
      <w:szCs w:val="24"/>
    </w:rPr>
  </w:style>
  <w:style w:type="character" w:styleId="CommentReference">
    <w:name w:val="annotation reference"/>
    <w:basedOn w:val="DefaultParagraphFont"/>
    <w:uiPriority w:val="99"/>
    <w:semiHidden/>
    <w:unhideWhenUsed/>
    <w:qFormat/>
    <w:rPr>
      <w:sz w:val="16"/>
      <w:szCs w:val="16"/>
    </w:rPr>
  </w:style>
  <w:style w:type="character" w:styleId="Hyperlink">
    <w:name w:val="Hyperlink"/>
    <w:basedOn w:val="DefaultParagraphFont"/>
    <w:uiPriority w:val="99"/>
    <w:semiHidden/>
    <w:unhideWhenUsed/>
    <w:qFormat/>
    <w:rPr>
      <w:color w:val="0000FF"/>
      <w:u w:val="single"/>
    </w:rPr>
  </w:style>
  <w:style w:type="table" w:styleId="TableGrid">
    <w:name w:val="Table Grid"/>
    <w:basedOn w:val="TableNormal"/>
    <w:uiPriority w:val="39"/>
    <w:qFormat/>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styleId="PlaceholderText">
    <w:name w:val="Placeholder Text"/>
    <w:basedOn w:val="DefaultParagraphFont"/>
    <w:uiPriority w:val="99"/>
    <w:semiHidden/>
    <w:qFormat/>
    <w:rPr>
      <w:color w:val="808080"/>
    </w:rPr>
  </w:style>
  <w:style w:type="paragraph" w:customStyle="1" w:styleId="Title3">
    <w:name w:val="Title 3"/>
    <w:basedOn w:val="Normal"/>
    <w:link w:val="Title3Char"/>
    <w:qFormat/>
  </w:style>
  <w:style w:type="character" w:customStyle="1" w:styleId="Title3Char">
    <w:name w:val="Title 3 Char"/>
    <w:basedOn w:val="DefaultParagraphFont"/>
    <w:link w:val="Title3"/>
    <w:qFormat/>
    <w:rPr>
      <w:rFonts w:ascii="Arial" w:eastAsiaTheme="minorHAnsi" w:hAnsi="Arial"/>
      <w:lang w:eastAsia="en-US"/>
    </w:rPr>
  </w:style>
  <w:style w:type="paragraph" w:customStyle="1" w:styleId="Title5">
    <w:name w:val="Title 5"/>
    <w:basedOn w:val="Normal"/>
    <w:link w:val="Title5Char"/>
    <w:qFormat/>
    <w:rPr>
      <w:b/>
    </w:rPr>
  </w:style>
  <w:style w:type="character" w:customStyle="1" w:styleId="Title5Char">
    <w:name w:val="Title 5 Char"/>
    <w:basedOn w:val="DefaultParagraphFont"/>
    <w:link w:val="Title5"/>
    <w:qFormat/>
    <w:rPr>
      <w:rFonts w:ascii="Arial" w:eastAsiaTheme="minorHAnsi" w:hAnsi="Arial"/>
      <w:b/>
      <w:lang w:eastAsia="en-US"/>
    </w:rPr>
  </w:style>
  <w:style w:type="paragraph" w:customStyle="1" w:styleId="Title1">
    <w:name w:val="Title 1"/>
    <w:basedOn w:val="Normal"/>
    <w:link w:val="Title1Char"/>
    <w:qFormat/>
    <w:rPr>
      <w:b/>
      <w:sz w:val="28"/>
    </w:rPr>
  </w:style>
  <w:style w:type="character" w:customStyle="1" w:styleId="Title1Char">
    <w:name w:val="Title 1 Char"/>
    <w:basedOn w:val="DefaultParagraphFont"/>
    <w:link w:val="Title1"/>
    <w:rPr>
      <w:rFonts w:ascii="Arial" w:eastAsiaTheme="minorHAnsi" w:hAnsi="Arial"/>
      <w:b/>
      <w:sz w:val="28"/>
      <w:lang w:eastAsia="en-US"/>
    </w:rPr>
  </w:style>
  <w:style w:type="character" w:customStyle="1" w:styleId="Title2">
    <w:name w:val="Title 2"/>
    <w:basedOn w:val="DefaultParagraphFont"/>
    <w:uiPriority w:val="1"/>
    <w:qFormat/>
    <w:rPr>
      <w:rFonts w:ascii="Arial" w:hAnsi="Arial"/>
      <w:b/>
      <w:sz w:val="24"/>
    </w:rPr>
  </w:style>
  <w:style w:type="character" w:customStyle="1" w:styleId="Style2">
    <w:name w:val="Style2"/>
    <w:basedOn w:val="DefaultParagraphFont"/>
    <w:uiPriority w:val="1"/>
    <w:qFormat/>
    <w:locked/>
    <w:rPr>
      <w:rFonts w:ascii="Arial" w:hAnsi="Arial"/>
      <w:b/>
      <w:sz w:val="22"/>
    </w:rPr>
  </w:style>
  <w:style w:type="paragraph" w:styleId="ListParagraph">
    <w:name w:val="List Paragraph"/>
    <w:basedOn w:val="Normal"/>
    <w:link w:val="ListParagraphChar"/>
    <w:uiPriority w:val="34"/>
    <w:qFormat/>
    <w:pPr>
      <w:numPr>
        <w:numId w:val="1"/>
      </w:numPr>
      <w:contextualSpacing/>
    </w:pPr>
  </w:style>
  <w:style w:type="character" w:customStyle="1" w:styleId="ReportTemplate">
    <w:name w:val="Report Template"/>
    <w:uiPriority w:val="1"/>
    <w:qFormat/>
  </w:style>
  <w:style w:type="character" w:customStyle="1" w:styleId="ListParagraphChar">
    <w:name w:val="List Paragraph Char"/>
    <w:basedOn w:val="DefaultParagraphFont"/>
    <w:link w:val="ListParagraph"/>
    <w:uiPriority w:val="34"/>
    <w:qFormat/>
    <w:rPr>
      <w:rFonts w:ascii="Arial" w:eastAsiaTheme="minorHAnsi" w:hAnsi="Arial"/>
      <w:lang w:eastAsia="en-US"/>
    </w:rPr>
  </w:style>
  <w:style w:type="character" w:customStyle="1" w:styleId="Style6">
    <w:name w:val="Style6"/>
    <w:basedOn w:val="DefaultParagraphFont"/>
    <w:uiPriority w:val="1"/>
    <w:qFormat/>
    <w:rPr>
      <w:rFonts w:ascii="Arial" w:hAnsi="Arial"/>
      <w:b/>
      <w:sz w:val="22"/>
    </w:rPr>
  </w:style>
  <w:style w:type="character" w:customStyle="1" w:styleId="BalloonTextChar">
    <w:name w:val="Balloon Text Char"/>
    <w:basedOn w:val="DefaultParagraphFont"/>
    <w:link w:val="BalloonText"/>
    <w:uiPriority w:val="99"/>
    <w:semiHidden/>
    <w:qFormat/>
    <w:rPr>
      <w:rFonts w:ascii="Segoe UI" w:eastAsiaTheme="minorHAnsi" w:hAnsi="Segoe UI" w:cs="Segoe UI"/>
      <w:sz w:val="18"/>
      <w:szCs w:val="18"/>
      <w:lang w:eastAsia="en-US"/>
    </w:rPr>
  </w:style>
  <w:style w:type="character" w:customStyle="1" w:styleId="CommentTextChar">
    <w:name w:val="Comment Text Char"/>
    <w:basedOn w:val="DefaultParagraphFont"/>
    <w:link w:val="CommentText"/>
    <w:uiPriority w:val="99"/>
    <w:semiHidden/>
    <w:qFormat/>
    <w:rPr>
      <w:rFonts w:ascii="Arial" w:eastAsiaTheme="minorHAnsi" w:hAnsi="Arial"/>
      <w:sz w:val="20"/>
      <w:szCs w:val="20"/>
      <w:lang w:eastAsia="en-US"/>
    </w:rPr>
  </w:style>
  <w:style w:type="character" w:customStyle="1" w:styleId="CommentSubjectChar">
    <w:name w:val="Comment Subject Char"/>
    <w:basedOn w:val="CommentTextChar"/>
    <w:link w:val="CommentSubject"/>
    <w:uiPriority w:val="99"/>
    <w:semiHidden/>
    <w:qFormat/>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170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as/pas-support/plan-production/plan-making-direct-support/plan-making-direct-support-review-your"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uidance/national-planning-policy-framework/3-plan-making"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gov.uk/government/publications/planning-delivery-fund-prospectus"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ational-planning-policy-framework--2"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ocal.gov.uk/pas/pas-topics/monitoring/preparing-effective-action-plan"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housing-delivery-test-2018-measuremen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CD1C31" w:rsidRDefault="00CD1C31">
          <w:pPr>
            <w:pStyle w:val="E82C81CF1FFA4ABEBE434B5B73B7C3E5"/>
          </w:pPr>
          <w:r>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CD1C31" w:rsidRDefault="00CD1C31">
          <w:pPr>
            <w:pStyle w:val="DC36D9B85A214F14AB68618A90760C36"/>
          </w:pPr>
          <w:r>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CD1C31" w:rsidRDefault="00CD1C31">
          <w:pPr>
            <w:pStyle w:val="F4AAD48BC63E4E6CA1FDFBF63F624C13"/>
          </w:pPr>
          <w:r>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CD1C31" w:rsidRDefault="00CD1C31">
          <w:pPr>
            <w:pStyle w:val="8FBDDDA01D65464796E9587F8A76D995"/>
          </w:pPr>
          <w:r>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CD1C31" w:rsidRDefault="00CD1C31">
          <w:pPr>
            <w:pStyle w:val="8E8D39C8ADA945B28543A4203DDCD7D0"/>
          </w:pPr>
          <w:r>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CD1C31" w:rsidRDefault="00CD1C31">
          <w:pPr>
            <w:pStyle w:val="6A9E8857DB8647FABF64567742B78AD3"/>
          </w:pPr>
          <w:r>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CD1C31" w:rsidRDefault="00CD1C31">
          <w:pPr>
            <w:pStyle w:val="116A86B4BA654E03A694D167A630844B"/>
          </w:pPr>
          <w:r>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CD1C31" w:rsidRDefault="00CD1C31">
          <w:pPr>
            <w:pStyle w:val="2A0B69953C334DA29F4AA2DA11A20895"/>
          </w:pPr>
          <w:r>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CD1C31" w:rsidRDefault="00CD1C31">
          <w:pPr>
            <w:pStyle w:val="612AD7A44EDB4762853B2D70AF17F626"/>
          </w:pPr>
          <w:r>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CD1C31" w:rsidRDefault="00CD1C31">
          <w:pPr>
            <w:pStyle w:val="5DA5FCDD5DE24111B5E40C7C6DC954DD"/>
          </w:pPr>
          <w:r>
            <w:rPr>
              <w:rStyle w:val="PlaceholderText"/>
            </w:rPr>
            <w:t>Click here to enter</w:t>
          </w:r>
          <w:r>
            <w:rPr>
              <w:rStyle w:val="PlaceholderText"/>
            </w:rPr>
            <w:t xml:space="preserve">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CD1C31" w:rsidRDefault="00CD1C31">
          <w:pPr>
            <w:pStyle w:val="B5D4B6342EAB4E63B8BDB1156776B295"/>
          </w:pPr>
          <w:r>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CD1C31" w:rsidRDefault="00CD1C31">
          <w:pPr>
            <w:pStyle w:val="D0FBEB16E9CB482E827B08B4F87AD0BA"/>
          </w:pPr>
          <w:r>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CD1C31" w:rsidRDefault="00CD1C31">
          <w:pPr>
            <w:pStyle w:val="425A900D7E884B1F9F17FA0290C47927"/>
          </w:pPr>
          <w:r>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CD1C31" w:rsidRDefault="00CD1C31">
          <w:pPr>
            <w:pStyle w:val="1E0CC31CDB354A1ABB229C915C28760C"/>
          </w:pPr>
          <w:r>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CD1C31" w:rsidRDefault="00CD1C31">
          <w:pPr>
            <w:pStyle w:val="E605DA1C0F21468BA32999706CB74491"/>
          </w:pPr>
          <w:r>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CD1C31" w:rsidRDefault="00CD1C31">
          <w:pPr>
            <w:pStyle w:val="1444C70DB0544F7FA5791133FDBCBD91"/>
          </w:pPr>
          <w:r>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CD1C31" w:rsidRDefault="00CD1C31">
          <w:pPr>
            <w:pStyle w:val="BDDA343FAB0548F5BDFA43419C56DD03"/>
          </w:pPr>
          <w:r>
            <w:rPr>
              <w:rStyle w:val="PlaceholderText"/>
            </w:rPr>
            <w:t>Choose an item.</w:t>
          </w:r>
        </w:p>
      </w:docPartBody>
    </w:docPart>
    <w:docPart>
      <w:docPartPr>
        <w:name w:val="{06e7b9f6-0748-4766-915a-758b742fe561}"/>
        <w:category>
          <w:name w:val="General"/>
          <w:gallery w:val="placeholder"/>
        </w:category>
        <w:types>
          <w:type w:val="bbPlcHdr"/>
        </w:types>
        <w:behaviors>
          <w:behavior w:val="content"/>
        </w:behaviors>
        <w:guid w:val="{06E7B9F6-0748-4766-915A-758B742FE561}"/>
      </w:docPartPr>
      <w:docPartBody>
        <w:p w:rsidR="00CD1C31" w:rsidRDefault="00CD1C31">
          <w:pPr>
            <w:pStyle w:val="F4AAD48BC63E4E6CA1FDFBF63F624C1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1F3F17"/>
    <w:rsid w:val="002F1F5C"/>
    <w:rsid w:val="004E2C7C"/>
    <w:rsid w:val="005F3E25"/>
    <w:rsid w:val="007415BA"/>
    <w:rsid w:val="007B68A9"/>
    <w:rsid w:val="009C3CC3"/>
    <w:rsid w:val="009F103D"/>
    <w:rsid w:val="00B710F9"/>
    <w:rsid w:val="00C24CED"/>
    <w:rsid w:val="00CD1C31"/>
    <w:rsid w:val="00DA1D2E"/>
    <w:rsid w:val="00DF2943"/>
    <w:rsid w:val="00EE1FE1"/>
    <w:rsid w:val="00F325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82C81CF1FFA4ABEBE434B5B73B7C3E5">
    <w:name w:val="E82C81CF1FFA4ABEBE434B5B73B7C3E5"/>
    <w:qFormat/>
    <w:rPr>
      <w:sz w:val="22"/>
      <w:szCs w:val="22"/>
      <w:lang w:eastAsia="ja-JP"/>
    </w:rPr>
  </w:style>
  <w:style w:type="paragraph" w:customStyle="1" w:styleId="DC36D9B85A214F14AB68618A90760C36">
    <w:name w:val="DC36D9B85A214F14AB68618A90760C36"/>
    <w:qFormat/>
    <w:rPr>
      <w:sz w:val="22"/>
      <w:szCs w:val="22"/>
      <w:lang w:eastAsia="ja-JP"/>
    </w:rPr>
  </w:style>
  <w:style w:type="paragraph" w:customStyle="1" w:styleId="F4AAD48BC63E4E6CA1FDFBF63F624C13">
    <w:name w:val="F4AAD48BC63E4E6CA1FDFBF63F624C13"/>
    <w:qFormat/>
    <w:rPr>
      <w:sz w:val="22"/>
      <w:szCs w:val="22"/>
      <w:lang w:eastAsia="ja-JP"/>
    </w:rPr>
  </w:style>
  <w:style w:type="paragraph" w:customStyle="1" w:styleId="8FBDDDA01D65464796E9587F8A76D995">
    <w:name w:val="8FBDDDA01D65464796E9587F8A76D995"/>
    <w:qFormat/>
    <w:rPr>
      <w:sz w:val="22"/>
      <w:szCs w:val="22"/>
      <w:lang w:eastAsia="ja-JP"/>
    </w:rPr>
  </w:style>
  <w:style w:type="paragraph" w:customStyle="1" w:styleId="94CC7694E64F4B5FA70D53F3E6CCDDA3">
    <w:name w:val="94CC7694E64F4B5FA70D53F3E6CCDDA3"/>
    <w:qFormat/>
    <w:rPr>
      <w:sz w:val="22"/>
      <w:szCs w:val="22"/>
      <w:lang w:eastAsia="ja-JP"/>
    </w:rPr>
  </w:style>
  <w:style w:type="paragraph" w:customStyle="1" w:styleId="8E8D39C8ADA945B28543A4203DDCD7D0">
    <w:name w:val="8E8D39C8ADA945B28543A4203DDCD7D0"/>
    <w:rPr>
      <w:sz w:val="22"/>
      <w:szCs w:val="22"/>
      <w:lang w:eastAsia="ja-JP"/>
    </w:rPr>
  </w:style>
  <w:style w:type="paragraph" w:customStyle="1" w:styleId="5D39C59FCEC747EDB2634A0AAB9062B5">
    <w:name w:val="5D39C59FCEC747EDB2634A0AAB9062B5"/>
    <w:qFormat/>
    <w:rPr>
      <w:sz w:val="22"/>
      <w:szCs w:val="22"/>
      <w:lang w:eastAsia="ja-JP"/>
    </w:rPr>
  </w:style>
  <w:style w:type="paragraph" w:customStyle="1" w:styleId="27A8C54077834EDA95D5720C76317296">
    <w:name w:val="27A8C54077834EDA95D5720C76317296"/>
    <w:qFormat/>
    <w:rPr>
      <w:sz w:val="22"/>
      <w:szCs w:val="22"/>
      <w:lang w:eastAsia="ja-JP"/>
    </w:rPr>
  </w:style>
  <w:style w:type="paragraph" w:customStyle="1" w:styleId="6A9E8857DB8647FABF64567742B78AD3">
    <w:name w:val="6A9E8857DB8647FABF64567742B78AD3"/>
    <w:rPr>
      <w:sz w:val="22"/>
      <w:szCs w:val="22"/>
      <w:lang w:eastAsia="ja-JP"/>
    </w:rPr>
  </w:style>
  <w:style w:type="paragraph" w:customStyle="1" w:styleId="6B09B6F9739C4E8FAFF2EA0A0359A684">
    <w:name w:val="6B09B6F9739C4E8FAFF2EA0A0359A684"/>
    <w:qFormat/>
    <w:rPr>
      <w:sz w:val="22"/>
      <w:szCs w:val="22"/>
      <w:lang w:eastAsia="ja-JP"/>
    </w:rPr>
  </w:style>
  <w:style w:type="paragraph" w:customStyle="1" w:styleId="116A86B4BA654E03A694D167A630844B">
    <w:name w:val="116A86B4BA654E03A694D167A630844B"/>
    <w:qFormat/>
    <w:rPr>
      <w:sz w:val="22"/>
      <w:szCs w:val="22"/>
      <w:lang w:eastAsia="ja-JP"/>
    </w:rPr>
  </w:style>
  <w:style w:type="paragraph" w:customStyle="1" w:styleId="C3D22AF864B146AEB19702CECBFFCA64">
    <w:name w:val="C3D22AF864B146AEB19702CECBFFCA64"/>
    <w:qFormat/>
    <w:rPr>
      <w:sz w:val="22"/>
      <w:szCs w:val="22"/>
      <w:lang w:eastAsia="ja-JP"/>
    </w:rPr>
  </w:style>
  <w:style w:type="paragraph" w:customStyle="1" w:styleId="2A0B69953C334DA29F4AA2DA11A20895">
    <w:name w:val="2A0B69953C334DA29F4AA2DA11A20895"/>
    <w:qFormat/>
    <w:rPr>
      <w:sz w:val="22"/>
      <w:szCs w:val="22"/>
      <w:lang w:eastAsia="ja-JP"/>
    </w:rPr>
  </w:style>
  <w:style w:type="paragraph" w:customStyle="1" w:styleId="612AD7A44EDB4762853B2D70AF17F626">
    <w:name w:val="612AD7A44EDB4762853B2D70AF17F626"/>
    <w:rPr>
      <w:sz w:val="22"/>
      <w:szCs w:val="22"/>
      <w:lang w:eastAsia="ja-JP"/>
    </w:rPr>
  </w:style>
  <w:style w:type="paragraph" w:customStyle="1" w:styleId="5DA5FCDD5DE24111B5E40C7C6DC954DD">
    <w:name w:val="5DA5FCDD5DE24111B5E40C7C6DC954DD"/>
    <w:rPr>
      <w:sz w:val="22"/>
      <w:szCs w:val="22"/>
      <w:lang w:eastAsia="ja-JP"/>
    </w:rPr>
  </w:style>
  <w:style w:type="paragraph" w:customStyle="1" w:styleId="B5D4B6342EAB4E63B8BDB1156776B295">
    <w:name w:val="B5D4B6342EAB4E63B8BDB1156776B295"/>
    <w:rPr>
      <w:sz w:val="22"/>
      <w:szCs w:val="22"/>
      <w:lang w:eastAsia="ja-JP"/>
    </w:rPr>
  </w:style>
  <w:style w:type="paragraph" w:customStyle="1" w:styleId="D0FBEB16E9CB482E827B08B4F87AD0BA">
    <w:name w:val="D0FBEB16E9CB482E827B08B4F87AD0BA"/>
    <w:rPr>
      <w:sz w:val="22"/>
      <w:szCs w:val="22"/>
      <w:lang w:eastAsia="ja-JP"/>
    </w:rPr>
  </w:style>
  <w:style w:type="paragraph" w:customStyle="1" w:styleId="425A900D7E884B1F9F17FA0290C47927">
    <w:name w:val="425A900D7E884B1F9F17FA0290C47927"/>
    <w:qFormat/>
    <w:rPr>
      <w:sz w:val="22"/>
      <w:szCs w:val="22"/>
      <w:lang w:eastAsia="ja-JP"/>
    </w:rPr>
  </w:style>
  <w:style w:type="paragraph" w:customStyle="1" w:styleId="1E0CC31CDB354A1ABB229C915C28760C">
    <w:name w:val="1E0CC31CDB354A1ABB229C915C28760C"/>
    <w:qFormat/>
    <w:rPr>
      <w:sz w:val="22"/>
      <w:szCs w:val="22"/>
      <w:lang w:eastAsia="ja-JP"/>
    </w:rPr>
  </w:style>
  <w:style w:type="paragraph" w:customStyle="1" w:styleId="E605DA1C0F21468BA32999706CB74491">
    <w:name w:val="E605DA1C0F21468BA32999706CB74491"/>
    <w:qFormat/>
    <w:rPr>
      <w:sz w:val="22"/>
      <w:szCs w:val="22"/>
      <w:lang w:eastAsia="ja-JP"/>
    </w:rPr>
  </w:style>
  <w:style w:type="paragraph" w:customStyle="1" w:styleId="4CD7ECD41FE244EA823CBD6B519A15B2">
    <w:name w:val="4CD7ECD41FE244EA823CBD6B519A15B2"/>
    <w:rPr>
      <w:sz w:val="22"/>
      <w:szCs w:val="22"/>
      <w:lang w:eastAsia="ja-JP"/>
    </w:rPr>
  </w:style>
  <w:style w:type="paragraph" w:customStyle="1" w:styleId="1444C70DB0544F7FA5791133FDBCBD91">
    <w:name w:val="1444C70DB0544F7FA5791133FDBCBD91"/>
    <w:qFormat/>
    <w:rPr>
      <w:sz w:val="22"/>
      <w:szCs w:val="22"/>
      <w:lang w:eastAsia="ja-JP"/>
    </w:rPr>
  </w:style>
  <w:style w:type="paragraph" w:customStyle="1" w:styleId="EECEE7B9D7B84CC0BE134A02D365A7F9">
    <w:name w:val="EECEE7B9D7B84CC0BE134A02D365A7F9"/>
    <w:rPr>
      <w:sz w:val="22"/>
      <w:szCs w:val="22"/>
      <w:lang w:eastAsia="ja-JP"/>
    </w:rPr>
  </w:style>
  <w:style w:type="paragraph" w:customStyle="1" w:styleId="63B50456C66D4112AEFBC40D8F09A0DC">
    <w:name w:val="63B50456C66D4112AEFBC40D8F09A0DC"/>
    <w:qFormat/>
    <w:rPr>
      <w:sz w:val="22"/>
      <w:szCs w:val="22"/>
      <w:lang w:eastAsia="ja-JP"/>
    </w:rPr>
  </w:style>
  <w:style w:type="paragraph" w:customStyle="1" w:styleId="A4555172851F49689CE31FEDC21581DB">
    <w:name w:val="A4555172851F49689CE31FEDC21581DB"/>
    <w:rPr>
      <w:sz w:val="22"/>
      <w:szCs w:val="22"/>
      <w:lang w:eastAsia="ja-JP"/>
    </w:rPr>
  </w:style>
  <w:style w:type="paragraph" w:customStyle="1" w:styleId="AC86F18644DD4AE492601C04D3E1EC1E">
    <w:name w:val="AC86F18644DD4AE492601C04D3E1EC1E"/>
    <w:rPr>
      <w:sz w:val="22"/>
      <w:szCs w:val="22"/>
      <w:lang w:eastAsia="ja-JP"/>
    </w:rPr>
  </w:style>
  <w:style w:type="paragraph" w:customStyle="1" w:styleId="BDDA343FAB0548F5BDFA43419C56DD03">
    <w:name w:val="BDDA343FAB0548F5BDFA43419C56DD03"/>
    <w:qFormat/>
    <w:rPr>
      <w:sz w:val="22"/>
      <w:szCs w:val="22"/>
      <w:lang w:eastAsia="ja-JP"/>
    </w:rPr>
  </w:style>
  <w:style w:type="paragraph" w:customStyle="1" w:styleId="1FDC3432958C4273A6171214DB340097">
    <w:name w:val="1FDC3432958C4273A6171214DB340097"/>
    <w:rPr>
      <w:sz w:val="22"/>
      <w:szCs w:val="22"/>
    </w:rPr>
  </w:style>
  <w:style w:type="paragraph" w:customStyle="1" w:styleId="CC6C65EA6B2A4135B5392728B5858903">
    <w:name w:val="CC6C65EA6B2A4135B5392728B5858903"/>
    <w:rPr>
      <w:sz w:val="22"/>
      <w:szCs w:val="22"/>
    </w:rPr>
  </w:style>
  <w:style w:type="paragraph" w:customStyle="1" w:styleId="74CD820A588940229269CDDD1F2AA703">
    <w:name w:val="74CD820A588940229269CDDD1F2AA703"/>
    <w:rPr>
      <w:sz w:val="22"/>
      <w:szCs w:val="22"/>
    </w:rPr>
  </w:style>
  <w:style w:type="paragraph" w:customStyle="1" w:styleId="A4990F2B2C954AAD8C6CC737C9A31951">
    <w:name w:val="A4990F2B2C954AAD8C6CC737C9A31951"/>
    <w:qFormat/>
    <w:rPr>
      <w:sz w:val="22"/>
      <w:szCs w:val="22"/>
    </w:rPr>
  </w:style>
  <w:style w:type="paragraph" w:customStyle="1" w:styleId="2D74701B466D4F45886E62542D81D925">
    <w:name w:val="2D74701B466D4F45886E62542D81D925"/>
    <w:qFormat/>
    <w:rPr>
      <w:sz w:val="22"/>
      <w:szCs w:val="22"/>
    </w:rPr>
  </w:style>
  <w:style w:type="paragraph" w:customStyle="1" w:styleId="A0DA4E8E768B4A6D82ADCA07F873EC8C">
    <w:name w:val="A0DA4E8E768B4A6D82ADCA07F873EC8C"/>
    <w:qFormat/>
    <w:rPr>
      <w:sz w:val="22"/>
      <w:szCs w:val="22"/>
    </w:rPr>
  </w:style>
  <w:style w:type="paragraph" w:customStyle="1" w:styleId="E84000A7810D473FB9182EE2A7CD4CEC">
    <w:name w:val="E84000A7810D473FB9182EE2A7CD4CEC"/>
    <w:qFormat/>
    <w:rPr>
      <w:sz w:val="22"/>
      <w:szCs w:val="22"/>
    </w:rPr>
  </w:style>
  <w:style w:type="paragraph" w:customStyle="1" w:styleId="DFF6CBA3D5D943EB859284EA2C2D5310">
    <w:name w:val="DFF6CBA3D5D943EB859284EA2C2D5310"/>
    <w:qFormat/>
    <w:rPr>
      <w:sz w:val="22"/>
      <w:szCs w:val="22"/>
    </w:rPr>
  </w:style>
  <w:style w:type="paragraph" w:customStyle="1" w:styleId="B7BBB7A9C9A54C4B8A77A75A47E7F6F9">
    <w:name w:val="B7BBB7A9C9A54C4B8A77A75A47E7F6F9"/>
    <w:qFormat/>
    <w:rPr>
      <w:sz w:val="22"/>
      <w:szCs w:val="22"/>
    </w:rPr>
  </w:style>
  <w:style w:type="paragraph" w:customStyle="1" w:styleId="F53B8A2666DB44B186FF0345955A2A73">
    <w:name w:val="F53B8A2666DB44B186FF0345955A2A73"/>
    <w:qFormat/>
    <w:rPr>
      <w:sz w:val="22"/>
      <w:szCs w:val="22"/>
    </w:rPr>
  </w:style>
  <w:style w:type="paragraph" w:customStyle="1" w:styleId="B456A31F6E834012A15FDBE2E77F1A53">
    <w:name w:val="B456A31F6E834012A15FDBE2E77F1A53"/>
    <w:qFormat/>
    <w:rPr>
      <w:sz w:val="22"/>
      <w:szCs w:val="22"/>
    </w:rPr>
  </w:style>
  <w:style w:type="paragraph" w:customStyle="1" w:styleId="610621C7DEEE4E2A8FB640BC614183C4">
    <w:name w:val="610621C7DEEE4E2A8FB640BC614183C4"/>
    <w:qFormat/>
    <w:rPr>
      <w:sz w:val="22"/>
      <w:szCs w:val="22"/>
    </w:rPr>
  </w:style>
  <w:style w:type="paragraph" w:customStyle="1" w:styleId="8352C87DA6DB42C081D2E5025F8846F9">
    <w:name w:val="8352C87DA6DB42C081D2E5025F8846F9"/>
    <w:qFormat/>
    <w:rPr>
      <w:sz w:val="22"/>
      <w:szCs w:val="22"/>
    </w:rPr>
  </w:style>
  <w:style w:type="paragraph" w:customStyle="1" w:styleId="52A96866E6554ADFB4AA1410D58B0251">
    <w:name w:val="52A96866E6554ADFB4AA1410D58B0251"/>
    <w:qFormat/>
    <w:rPr>
      <w:sz w:val="22"/>
      <w:szCs w:val="22"/>
    </w:rPr>
  </w:style>
  <w:style w:type="paragraph" w:customStyle="1" w:styleId="F1B7EB7CB7EE471287C80C94729B1AF0">
    <w:name w:val="F1B7EB7CB7EE471287C80C94729B1AF0"/>
    <w:qFormat/>
    <w:rPr>
      <w:sz w:val="22"/>
      <w:szCs w:val="22"/>
    </w:rPr>
  </w:style>
  <w:style w:type="paragraph" w:customStyle="1" w:styleId="3DD593FD12384FF1B726DC8CBDFA1E02">
    <w:name w:val="3DD593FD12384FF1B726DC8CBDFA1E02"/>
    <w:qFormat/>
    <w:rPr>
      <w:sz w:val="22"/>
      <w:szCs w:val="22"/>
    </w:rPr>
  </w:style>
  <w:style w:type="paragraph" w:customStyle="1" w:styleId="3054305544664875B4CFF2DF476C000B">
    <w:name w:val="3054305544664875B4CFF2DF476C000B"/>
    <w:qFormat/>
    <w:rPr>
      <w:sz w:val="22"/>
      <w:szCs w:val="22"/>
    </w:rPr>
  </w:style>
  <w:style w:type="paragraph" w:customStyle="1" w:styleId="52C62D73F0FC42128968D36894ABCCA0">
    <w:name w:val="52C62D73F0FC42128968D36894ABCCA0"/>
    <w:qFormat/>
    <w:rPr>
      <w:sz w:val="22"/>
      <w:szCs w:val="22"/>
    </w:rPr>
  </w:style>
  <w:style w:type="paragraph" w:customStyle="1" w:styleId="2A8E19C6D6BE48038E314E7896794946">
    <w:name w:val="2A8E19C6D6BE48038E314E7896794946"/>
    <w:qFormat/>
    <w:rPr>
      <w:sz w:val="22"/>
      <w:szCs w:val="22"/>
    </w:rPr>
  </w:style>
  <w:style w:type="paragraph" w:customStyle="1" w:styleId="A39E08FD778D4418AC56EECEEBEBBBFF">
    <w:name w:val="A39E08FD778D4418AC56EECEEBEBBBFF"/>
    <w:rPr>
      <w:sz w:val="22"/>
      <w:szCs w:val="22"/>
    </w:rPr>
  </w:style>
  <w:style w:type="paragraph" w:customStyle="1" w:styleId="64E32219711B409FB05AE6ACFE15A101">
    <w:name w:val="64E32219711B409FB05AE6ACFE15A101"/>
    <w:rPr>
      <w:sz w:val="22"/>
      <w:szCs w:val="22"/>
    </w:rPr>
  </w:style>
  <w:style w:type="paragraph" w:customStyle="1" w:styleId="CCACF771AC5445ADB14224EB8C2968E4">
    <w:name w:val="CCACF771AC5445ADB14224EB8C2968E4"/>
    <w:qFormat/>
    <w:rPr>
      <w:sz w:val="22"/>
      <w:szCs w:val="22"/>
    </w:rPr>
  </w:style>
  <w:style w:type="paragraph" w:customStyle="1" w:styleId="22F020D135E2470783482784C51DA71D">
    <w:name w:val="22F020D135E2470783482784C51DA71D"/>
    <w:rPr>
      <w:sz w:val="22"/>
      <w:szCs w:val="22"/>
    </w:rPr>
  </w:style>
  <w:style w:type="paragraph" w:customStyle="1" w:styleId="EB767028293F43509B056EF0E1AEFAE4">
    <w:name w:val="EB767028293F43509B056EF0E1AEFAE4"/>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4.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11606E4-B5E8-4A54-9A36-FE239D439BB9}">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a2450aae-1d20-4711-921f-ba4e3dc97b4d"/>
    <ds:schemaRef ds:uri="http://purl.org/dc/dcmitype/"/>
  </ds:schemaRefs>
</ds:datastoreItem>
</file>

<file path=customXml/itemProps4.xml><?xml version="1.0" encoding="utf-8"?>
<ds:datastoreItem xmlns:ds="http://schemas.openxmlformats.org/officeDocument/2006/customXml" ds:itemID="{9B3218A0-186B-428F-B514-461A1CA49377}">
  <ds:schemaRefs/>
</ds:datastoreItem>
</file>

<file path=docProps/app.xml><?xml version="1.0" encoding="utf-8"?>
<Properties xmlns="http://schemas.openxmlformats.org/officeDocument/2006/extended-properties" xmlns:vt="http://schemas.openxmlformats.org/officeDocument/2006/docPropsVTypes">
  <Template>583C769C</Template>
  <TotalTime>0</TotalTime>
  <Pages>9</Pages>
  <Words>1384</Words>
  <Characters>7891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creator>Jessica Norman</dc:creator>
  <cp:lastModifiedBy>Thomas French</cp:lastModifiedBy>
  <cp:revision>2</cp:revision>
  <dcterms:created xsi:type="dcterms:W3CDTF">2019-05-08T11:22:00Z</dcterms:created>
  <dcterms:modified xsi:type="dcterms:W3CDTF">2019-05-08T11:22:00Z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y fmtid="{D5CDD505-2E9C-101B-9397-08002B2CF9AE}" pid="3" name="KSOProductBuildVer">
    <vt:lpwstr>2057-11.2.0.8339</vt:lpwstr>
  </property>
</Properties>
</file>